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5D0" w:rsidP="00422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TLIH0004 Identify major roads, services and attractions</w:t>
      </w:r>
      <w:r>
        <w:fldChar w:fldCharType="end"/>
      </w:r>
    </w:p>
    <w:p w:rsidR="004225D0" w:rsidP="004225D0">
      <w:pPr>
        <w:pStyle w:val="Version"/>
        <w:sectPr w:rsidSect="00F63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DBB" w:rsidP="00F63DBB">
      <w:pPr>
        <w:pStyle w:val="SuperHeading"/>
      </w:pPr>
      <w:r w:rsidRPr="00F63DBB">
        <w:t>TLIH0004 Identify major roads, services and attractions</w:t>
      </w:r>
    </w:p>
    <w:p w:rsidR="00000000" w:rsidRPr="00F63DBB" w:rsidP="00F63DBB">
      <w:pPr>
        <w:pStyle w:val="Heading1"/>
      </w:pPr>
      <w:bookmarkStart w:id="1" w:name="O_1194167"/>
      <w:bookmarkEnd w:id="1"/>
      <w:r w:rsidRPr="00F63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Release 1.</w:t>
            </w:r>
            <w:r w:rsidRPr="00F63DBB">
              <w:t xml:space="preserve"> This is the first release of this unit of competency in the TLI Transport and Logistics Training Package.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2" w:name="O_1194168"/>
      <w:bookmarkEnd w:id="2"/>
      <w:r w:rsidRPr="00F63D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This unit involves the skills and knowledge required to identify ma</w:t>
            </w:r>
            <w:r w:rsidRPr="00F63DBB">
              <w:t>jor roads, services and attractions.</w:t>
            </w:r>
          </w:p>
          <w:p w:rsidR="00000000" w:rsidRPr="00F63DBB" w:rsidP="00F63DBB">
            <w:pPr>
              <w:pStyle w:val="BodyText"/>
            </w:pPr>
            <w:r w:rsidRPr="00F63DBB">
              <w:t xml:space="preserve">It includes locating major roads, highways and suburbs in area of operation; and locating transport interchanges, jetties, ports, stations and terminals. It also includes identifying main public services and facilities </w:t>
            </w:r>
            <w:r w:rsidRPr="00F63DBB">
              <w:t>and locating key features in a central business district on a map.</w:t>
            </w:r>
          </w:p>
          <w:p w:rsidR="00000000" w:rsidRPr="00F63DBB" w:rsidP="00F63DBB">
            <w:pPr>
              <w:pStyle w:val="BodyText"/>
            </w:pPr>
            <w:r w:rsidRPr="00F63DBB">
              <w:t xml:space="preserve">Work is performed with limited supervision, and with duty of care responsibility for self and others in achieving the prescribed outcomes. </w:t>
            </w:r>
          </w:p>
          <w:p w:rsidR="00000000" w:rsidRPr="00F63DBB" w:rsidP="00F63DBB">
            <w:pPr>
              <w:pStyle w:val="BodyText"/>
            </w:pPr>
            <w:r w:rsidRPr="00F63DBB">
              <w:t>This unit meets part of the certification require</w:t>
            </w:r>
            <w:r w:rsidRPr="00F63DBB">
              <w:t>ments for obtaining specialist driver accreditations. As requirements may vary between states and territories, people seeking specialist driver accreditation should contact their state/territory licensing regulator.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3" w:name="O_1194169"/>
      <w:bookmarkEnd w:id="3"/>
      <w:r w:rsidRPr="00F63D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Not applicable.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4" w:name="O_1194170"/>
      <w:bookmarkEnd w:id="4"/>
      <w:r w:rsidRPr="00F63D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H – Route Planning and Navigation.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5" w:name="O_1194171"/>
      <w:bookmarkEnd w:id="5"/>
      <w:r w:rsidRPr="00F63D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Not applicable.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6" w:name="O_1194172"/>
      <w:bookmarkEnd w:id="6"/>
      <w:r w:rsidRPr="00F63D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461"/>
        <w:gridCol w:w="6347"/>
      </w:tblGrid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PERFORMANCE CRITERIA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Performance criteria describe the performance needed to demonstrate achievement of the element.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 xml:space="preserve">Locate all major roads, highways and </w:t>
            </w:r>
            <w:r w:rsidRPr="00F63DBB">
              <w:rPr>
                <w:rStyle w:val="SpecialBold"/>
              </w:rPr>
              <w:t>suburbs in area of operation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1.1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Major roads and associated suburbs are iden</w:t>
            </w:r>
            <w:r w:rsidRPr="00F63DBB">
              <w:t>tified and located on a map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1.2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 xml:space="preserve">Suburbs serviced by a freeway are identified and located on a map 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1.3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Main suburbs, with relation to geographical sectors (east, west, north and south), are identified in order of closest proximity to destination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1.4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Bus/taxi lanes are identified and located on a map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Locate transport interchanges, jetties, ports, stations and terminals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2.1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Major transport interchanges, jetties, ports, terminals and stations are identified and located on a map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2.2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 xml:space="preserve">Major connecting roads entering and exiting main transport interchanges, terminals, jetties, ports and rail stations are identified and located on a map 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2.3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Established passenger pickup and drop-off areas at main transport interchanges, jetties, ports,</w:t>
            </w:r>
            <w:r w:rsidRPr="00F63DBB">
              <w:t xml:space="preserve"> airports, terminals and stations are identified and located on a map 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2.4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Special access and/or financial requirements for entering and exiting main transport interchanges, jetties, ports, terminals and stations are observed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Identify main public services and facilities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3.1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Key tourist locations are located on a map and their features are communicated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3.2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Key public services and facilities are located on a map and communicated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3.3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Main scenic routes, places and landmarks of interest to tourists are determined and features are communicated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Locate key features in a central business district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4.1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Streets, major buildings and traffic flow directions of central business district and ci</w:t>
            </w:r>
            <w:r w:rsidRPr="00F63DBB">
              <w:t xml:space="preserve">ty centre are identified and located on a map 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4.2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 xml:space="preserve">City hotels are identified and located on a map 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4.3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Exit and entry points to city are determined in relation to a final destination</w:t>
            </w:r>
          </w:p>
        </w:tc>
      </w:tr>
      <w:tr w:rsidTr="00F63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>
            <w:pPr>
              <w:pStyle w:val="BodyText"/>
              <w:keepLines w:val="0"/>
              <w:spacing w:before="0" w:after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rPr>
                <w:rStyle w:val="SpecialBold"/>
              </w:rPr>
              <w:t>4.4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Transport interchanges and passenger pic</w:t>
            </w:r>
            <w:r w:rsidRPr="00F63DBB">
              <w:t xml:space="preserve">kup and drop-off areas in central business district and city centre are identified and located on a map 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7" w:name="O_1194173"/>
      <w:bookmarkEnd w:id="7"/>
      <w:r w:rsidRPr="00F63D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 xml:space="preserve">Foundation skills essential to performance are explicit in the performance criteria of this unit of </w:t>
            </w:r>
            <w:r w:rsidRPr="00F63DBB">
              <w:t>competency.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8" w:name="O_1194174"/>
      <w:bookmarkEnd w:id="8"/>
      <w:r w:rsidRPr="00F63D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Range is restricted to essential operating conditions and any other variables essential to the work environment.</w:t>
            </w:r>
          </w:p>
          <w:p w:rsidR="00000000" w:rsidRPr="00F63DBB" w:rsidP="00F63DBB">
            <w:pPr>
              <w:pStyle w:val="BodyText"/>
            </w:pPr>
            <w:r w:rsidRPr="00F63DBB">
              <w:t xml:space="preserve">Non-essential conditions can be found in the TLI </w:t>
            </w:r>
            <w:r w:rsidRPr="00F63DBB">
              <w:t>Transport and Logistics Training Package Companion Volume Implementation Guide.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9" w:name="O_1194175"/>
      <w:bookmarkEnd w:id="9"/>
      <w:r w:rsidRPr="00F63D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>This unit replaces and is equivalent to TLIH3004 Identify major roads, services and attractions.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10" w:name="O_1194182"/>
      <w:bookmarkEnd w:id="10"/>
      <w:r w:rsidRPr="00F63DBB">
        <w:t>Links</w:t>
      </w:r>
    </w:p>
    <w:p w:rsidR="00000000" w:rsidRPr="00F63DBB" w:rsidP="004225D0">
      <w:pPr>
        <w:pStyle w:val="BodyText"/>
      </w:pPr>
      <w:r w:rsidRPr="00F63DBB">
        <w:t>Comp</w:t>
      </w:r>
      <w:r w:rsidRPr="00F63DB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69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3DBB" w:rsidP="004225D0">
      <w:pPr>
        <w:pStyle w:val="BodyText"/>
        <w:sectPr w:rsidSect="00F63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DBB" w:rsidP="00F63DBB">
      <w:pPr>
        <w:pStyle w:val="SuperHeading"/>
      </w:pPr>
      <w:r w:rsidRPr="00F63DBB">
        <w:t>Assessment Requirements for TLIH0004 Identify major roads, services</w:t>
      </w:r>
      <w:r w:rsidRPr="00F63DBB">
        <w:t xml:space="preserve"> and attractions</w:t>
      </w:r>
    </w:p>
    <w:p w:rsidR="00000000" w:rsidRPr="00F63DBB" w:rsidP="00F63DBB">
      <w:pPr>
        <w:pStyle w:val="Heading1"/>
      </w:pPr>
      <w:bookmarkStart w:id="11" w:name="O_1194177"/>
      <w:bookmarkEnd w:id="11"/>
      <w:r w:rsidRPr="00F63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rPr>
                <w:rStyle w:val="SpecialBold"/>
              </w:rPr>
              <w:t>Release 1.</w:t>
            </w:r>
            <w:r w:rsidRPr="00F63DBB">
              <w:t xml:space="preserve"> This is the first release of this unit of competency in the TLI Transport and Logistics Training Package.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12" w:name="O_1194178"/>
      <w:bookmarkEnd w:id="12"/>
      <w:r w:rsidRPr="00F63D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ListBullet"/>
            </w:pPr>
            <w:r w:rsidRPr="00F63DBB">
              <w:t>communicating effectively with others when identifying and locati</w:t>
            </w:r>
            <w:r w:rsidRPr="00F63DBB">
              <w:t>ng major roads, services and attractions</w:t>
            </w:r>
          </w:p>
          <w:p w:rsidR="00000000" w:rsidRPr="00F63DBB" w:rsidP="00F63DBB">
            <w:pPr>
              <w:pStyle w:val="ListBullet"/>
            </w:pPr>
            <w:r w:rsidRPr="00F63DBB">
              <w:t>identifying and correctly using maps and other information about the location and features of roads, services and attractions</w:t>
            </w:r>
          </w:p>
          <w:p w:rsidR="00000000" w:rsidRPr="00F63DBB" w:rsidP="00F63DBB">
            <w:pPr>
              <w:pStyle w:val="ListBullet"/>
            </w:pPr>
            <w:r w:rsidRPr="00F63DBB">
              <w:t>interpreting and following instructions</w:t>
            </w:r>
          </w:p>
          <w:p w:rsidR="00000000" w:rsidRPr="00F63DBB" w:rsidP="00F63DBB">
            <w:pPr>
              <w:pStyle w:val="ListBullet"/>
            </w:pPr>
            <w:r w:rsidRPr="00F63DBB">
              <w:t xml:space="preserve">locating identified roads, services and attractions on a map  </w:t>
            </w:r>
          </w:p>
          <w:p w:rsidR="00000000" w:rsidRPr="00F63DBB" w:rsidP="00F63DBB">
            <w:pPr>
              <w:pStyle w:val="ListBullet"/>
            </w:pPr>
            <w:r w:rsidRPr="00F63DBB">
              <w:t>operating technology when locating roads, services and attractions</w:t>
            </w:r>
          </w:p>
          <w:p w:rsidR="00000000" w:rsidRPr="00F63DBB" w:rsidP="00F63DBB">
            <w:pPr>
              <w:pStyle w:val="ListBullet"/>
            </w:pPr>
            <w:r w:rsidRPr="00F63DBB">
              <w:t>reading and interpreting relevant instructions, workplace policies and procedures.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13" w:name="O_1194179"/>
      <w:bookmarkEnd w:id="13"/>
      <w:r w:rsidRPr="00F63D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BB">
            <w:pPr>
              <w:pStyle w:val="BodyText"/>
              <w:rPr>
                <w:lang w:val="en-NZ"/>
              </w:rPr>
            </w:pPr>
            <w:r w:rsidRPr="00F63DB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ListBullet"/>
            </w:pPr>
            <w:r w:rsidRPr="00F63DBB">
              <w:t xml:space="preserve">information for locating roads, services and attractions, including: </w:t>
            </w:r>
          </w:p>
          <w:p w:rsidR="00000000" w:rsidRPr="00F63DBB" w:rsidP="00F63DBB">
            <w:pPr>
              <w:pStyle w:val="ListBullet2"/>
            </w:pPr>
            <w:r w:rsidRPr="00F63DBB">
              <w:t>bus and emergency lane usage</w:t>
            </w:r>
          </w:p>
          <w:p w:rsidR="00000000" w:rsidRPr="00F63DBB" w:rsidP="00F63DBB">
            <w:pPr>
              <w:pStyle w:val="ListBullet2"/>
            </w:pPr>
            <w:r w:rsidRPr="00F63DBB">
              <w:t>entry and access points to major road systems</w:t>
            </w:r>
          </w:p>
          <w:p w:rsidR="00000000" w:rsidRPr="00F63DBB" w:rsidP="00F63DBB">
            <w:pPr>
              <w:pStyle w:val="ListBullet2"/>
            </w:pPr>
            <w:r w:rsidRPr="00F63DBB">
              <w:t>location of city centre streets, major buildings and traffic flows</w:t>
            </w:r>
          </w:p>
          <w:p w:rsidR="00000000" w:rsidRPr="00F63DBB" w:rsidP="00F63DBB">
            <w:pPr>
              <w:pStyle w:val="ListBullet2"/>
            </w:pPr>
            <w:r w:rsidRPr="00F63DBB">
              <w:t>location of main hotels, motels and tourist attractions in a specified area</w:t>
            </w:r>
          </w:p>
          <w:p w:rsidR="00000000" w:rsidRPr="00F63DBB" w:rsidP="00F63DBB">
            <w:pPr>
              <w:pStyle w:val="ListBullet2"/>
            </w:pPr>
            <w:r w:rsidRPr="00F63DBB">
              <w:t>location of metropolitan suburbs</w:t>
            </w:r>
          </w:p>
          <w:p w:rsidR="00000000" w:rsidRPr="00F63DBB" w:rsidP="00F63DBB">
            <w:pPr>
              <w:pStyle w:val="ListBullet2"/>
            </w:pPr>
            <w:r w:rsidRPr="00F63DBB">
              <w:t xml:space="preserve">main </w:t>
            </w:r>
            <w:r w:rsidRPr="00F63DBB">
              <w:t>arterial roads</w:t>
            </w:r>
          </w:p>
          <w:p w:rsidR="00000000" w:rsidRPr="00F63DBB" w:rsidP="00F63DBB">
            <w:pPr>
              <w:pStyle w:val="ListBullet2"/>
            </w:pPr>
            <w:r w:rsidRPr="00F63DBB">
              <w:t>most appropriate routes for entering and exiting a city centre</w:t>
            </w:r>
          </w:p>
          <w:p w:rsidR="00000000" w:rsidRPr="00F63DBB" w:rsidP="00F63DBB">
            <w:pPr>
              <w:pStyle w:val="ListBullet2"/>
            </w:pPr>
            <w:r w:rsidRPr="00F63DBB">
              <w:t>restrictions to traffic movement at major intersections</w:t>
            </w:r>
          </w:p>
          <w:p w:rsidR="00000000" w:rsidRPr="00F63DBB" w:rsidP="00F63DBB">
            <w:pPr>
              <w:pStyle w:val="ListBullet2"/>
            </w:pPr>
            <w:r w:rsidRPr="00F63DBB">
              <w:t>roads and suburbs connecting with freeways and transport interchanges, terminals, jetties, ports and stations</w:t>
            </w:r>
          </w:p>
          <w:p w:rsidR="00000000" w:rsidRPr="00F63DBB" w:rsidP="00F63DBB">
            <w:pPr>
              <w:pStyle w:val="ListBullet"/>
            </w:pPr>
            <w:r w:rsidRPr="00F63DBB">
              <w:t>workplace procedures for identifying and locating roads, services and attractions.</w:t>
            </w:r>
          </w:p>
        </w:tc>
      </w:tr>
    </w:tbl>
    <w:p w:rsidR="00000000" w:rsidRPr="00F63DBB" w:rsidP="00F63DBB">
      <w:pPr>
        <w:pStyle w:val="NoPaddingFontSize1"/>
      </w:pPr>
    </w:p>
    <w:p w:rsidR="00000000" w:rsidRPr="00F63DBB" w:rsidP="00F63DBB">
      <w:pPr>
        <w:pStyle w:val="AllowPageBreak"/>
      </w:pPr>
    </w:p>
    <w:p w:rsidR="00000000" w:rsidRPr="00F63DBB" w:rsidP="00F63DBB">
      <w:pPr>
        <w:pStyle w:val="Heading1"/>
      </w:pPr>
      <w:bookmarkStart w:id="14" w:name="O_1194180"/>
      <w:bookmarkEnd w:id="14"/>
      <w:r w:rsidRPr="00F63D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BB" w:rsidP="00F63DBB">
            <w:pPr>
              <w:pStyle w:val="BodyText"/>
            </w:pPr>
            <w:r w:rsidRPr="00F63DBB">
              <w:t xml:space="preserve">Assessors must hold credentials specified within the Standards for Registered Training Organisations current at the time of assessment. </w:t>
            </w:r>
          </w:p>
          <w:p w:rsidR="00000000" w:rsidRPr="00F63DBB" w:rsidP="00F63DBB">
            <w:pPr>
              <w:pStyle w:val="BodyText"/>
            </w:pPr>
            <w:r w:rsidRPr="00F63DBB">
              <w:t>Assessment must satisfy the Principles of Assessment and Rules of Evidence and all regulatory requirements included wit</w:t>
            </w:r>
            <w:r w:rsidRPr="00F63DBB">
              <w:t>hin the Standards for Registered Training Organisations current at the time of assessment.</w:t>
            </w:r>
          </w:p>
          <w:p w:rsidR="00000000" w:rsidRPr="00F63DBB" w:rsidP="00F63DBB">
            <w:pPr>
              <w:pStyle w:val="BodyText"/>
            </w:pPr>
            <w:r w:rsidRPr="00F63DBB">
              <w:t>Assessment must occur in workplace operational situations where it is appropriate to do so; where this is not appropriate, assessment must occur in simulated workpla</w:t>
            </w:r>
            <w:r w:rsidRPr="00F63DBB">
              <w:t>ce operational situations that replicate workplace conditions.</w:t>
            </w:r>
          </w:p>
          <w:p w:rsidR="00000000" w:rsidRPr="00F63DBB" w:rsidP="00F63DBB">
            <w:pPr>
              <w:pStyle w:val="BodyText"/>
            </w:pPr>
            <w:r w:rsidRPr="00F63D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3DBB" w:rsidP="00F63DBB">
            <w:pPr>
              <w:pStyle w:val="BodyText"/>
            </w:pPr>
            <w:r w:rsidRPr="00F63DBB">
              <w:t xml:space="preserve">Resources for assessment </w:t>
            </w:r>
            <w:r w:rsidRPr="00F63DBB">
              <w:t>must include access to:</w:t>
            </w:r>
          </w:p>
          <w:p w:rsidR="00000000" w:rsidRPr="00F63DBB" w:rsidP="00F63DBB">
            <w:pPr>
              <w:pStyle w:val="ListBullet"/>
            </w:pPr>
            <w:r w:rsidRPr="00F63DBB">
              <w:t>a range of relevant exercises, case studies and/or simulations</w:t>
            </w:r>
          </w:p>
          <w:p w:rsidR="00000000" w:rsidRPr="00F63DBB" w:rsidP="00F63DBB">
            <w:pPr>
              <w:pStyle w:val="ListBullet"/>
            </w:pPr>
            <w:r w:rsidRPr="00F63DBB">
              <w:t>relevant and appropriate materials, tools, equipment and personal protective equipment (PPE) currently used in industry</w:t>
            </w:r>
          </w:p>
          <w:p w:rsidR="00000000" w:rsidRPr="00F63DBB" w:rsidP="00F63DBB">
            <w:pPr>
              <w:pStyle w:val="ListBullet"/>
            </w:pPr>
            <w:r w:rsidRPr="00F63DBB">
              <w:t>applicable documentation, including legislation,</w:t>
            </w:r>
            <w:r w:rsidRPr="00F63DBB">
              <w:t xml:space="preserve"> regulations, codes of practice, workplace procedures and operation manuals.</w:t>
            </w:r>
          </w:p>
        </w:tc>
      </w:tr>
    </w:tbl>
    <w:p w:rsidR="004225D0" w:rsidP="00F63DBB">
      <w:pPr>
        <w:pStyle w:val="NoPaddingFontSize1"/>
      </w:pPr>
    </w:p>
    <w:p w:rsidR="004225D0" w:rsidP="00F63DBB">
      <w:pPr>
        <w:pStyle w:val="NoPaddingFontSize1"/>
      </w:pPr>
    </w:p>
    <w:p w:rsidR="00000000" w:rsidRPr="00F63DBB" w:rsidP="00F63DBB">
      <w:pPr>
        <w:pStyle w:val="Heading1"/>
      </w:pPr>
      <w:bookmarkStart w:id="15" w:name="O_1194183"/>
      <w:bookmarkEnd w:id="15"/>
      <w:r w:rsidRPr="00F63DBB">
        <w:t>Links</w:t>
      </w:r>
    </w:p>
    <w:p w:rsidR="00000000" w:rsidRPr="00F63DBB" w:rsidP="004225D0">
      <w:pPr>
        <w:pStyle w:val="BodyText"/>
      </w:pPr>
      <w:r w:rsidRPr="00F63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69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3DBB" w:rsidP="00F63DBB"/>
    <w:sectPr w:rsidSect="00F63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 w:rsidRPr="004225D0" w:rsidP="00422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D0" w:rsidP="00F63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5D0" w:rsidP="00F63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25D0" w:rsidP="00F63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 w:rsidP="00F63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5D0">
      <w:t>Approved</w:t>
    </w:r>
    <w:r w:rsidR="004225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5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5D0">
      <w:rPr>
        <w:noProof/>
      </w:rPr>
      <w:t>4</w:t>
    </w:r>
    <w:r>
      <w:rPr>
        <w:noProof/>
      </w:rPr>
      <w:fldChar w:fldCharType="end"/>
    </w:r>
  </w:p>
  <w:p w:rsidR="00F63DBB" w:rsidP="00F63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5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5D0">
      <w:t>Industry Skills Australia</w:t>
    </w:r>
    <w:r w:rsidR="004225D0">
      <w:fldChar w:fldCharType="end"/>
    </w:r>
  </w:p>
  <w:p w:rsidR="00F63DBB" w:rsidP="00F63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DBB" w:rsidRPr="004225D0" w:rsidP="00422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D0" w:rsidRPr="002D2AF8" w:rsidP="00F63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TLIH0004 Identify major roads, services and attractions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5D0" w:rsidP="00F63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B" w:rsidRPr="002D2AF8" w:rsidP="00F63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5D0">
      <w:t>TLIH0004 Identify major roads, services and attractions</w:t>
    </w:r>
    <w:r w:rsidR="004225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5D0">
      <w:rPr>
        <w:noProof/>
      </w:rPr>
      <w:t>2 March 2025</w:t>
    </w:r>
    <w:r>
      <w:fldChar w:fldCharType="end"/>
    </w:r>
  </w:p>
  <w:p w:rsidR="00F63DBB" w:rsidP="00F63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2E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648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81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DBB"/>
  </w:style>
  <w:style w:type="character" w:customStyle="1" w:styleId="Heading1Char">
    <w:name w:val="Heading 1 Char"/>
    <w:basedOn w:val="DefaultParagraphFont"/>
    <w:link w:val="Heading1"/>
    <w:rsid w:val="00F63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D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DBB"/>
    <w:rPr>
      <w:b/>
      <w:spacing w:val="0"/>
    </w:rPr>
  </w:style>
  <w:style w:type="paragraph" w:styleId="ListBullet2">
    <w:name w:val="List Bullet 2"/>
    <w:basedOn w:val="List2"/>
    <w:rsid w:val="00F63D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3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DBB"/>
    <w:rPr>
      <w:i/>
    </w:rPr>
  </w:style>
  <w:style w:type="paragraph" w:styleId="Caption">
    <w:name w:val="caption"/>
    <w:basedOn w:val="BodyText"/>
    <w:next w:val="Normal"/>
    <w:qFormat/>
    <w:rsid w:val="00F63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DBB"/>
  </w:style>
  <w:style w:type="paragraph" w:styleId="TableofFigures">
    <w:name w:val="table of figures"/>
    <w:basedOn w:val="Normal"/>
    <w:next w:val="Normal"/>
    <w:semiHidden/>
    <w:rsid w:val="00F63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D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DBB"/>
    <w:rPr>
      <w:rFonts w:ascii="Wingdings" w:hAnsi="Wingdings"/>
    </w:rPr>
  </w:style>
  <w:style w:type="paragraph" w:customStyle="1" w:styleId="TableHeading">
    <w:name w:val="Table Heading"/>
    <w:basedOn w:val="HeadingBase"/>
    <w:rsid w:val="00F63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DBB"/>
    <w:rPr>
      <w:color w:val="0033CC"/>
      <w:u w:val="none"/>
    </w:rPr>
  </w:style>
  <w:style w:type="paragraph" w:customStyle="1" w:styleId="BodyTextRight">
    <w:name w:val="Body Text Right"/>
    <w:basedOn w:val="BodyText"/>
    <w:rsid w:val="00F63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D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DBB"/>
    <w:rPr>
      <w:sz w:val="32"/>
    </w:rPr>
  </w:style>
  <w:style w:type="paragraph" w:customStyle="1" w:styleId="HeadingProcedure">
    <w:name w:val="Heading Procedure"/>
    <w:basedOn w:val="HeadingBase"/>
    <w:next w:val="Normal"/>
    <w:rsid w:val="00F63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DBB"/>
    <w:pPr>
      <w:spacing w:before="60" w:after="60"/>
    </w:pPr>
  </w:style>
  <w:style w:type="paragraph" w:styleId="ListContinue">
    <w:name w:val="List Continue"/>
    <w:basedOn w:val="List"/>
    <w:rsid w:val="00F63DBB"/>
    <w:pPr>
      <w:ind w:firstLine="0"/>
    </w:pPr>
  </w:style>
  <w:style w:type="paragraph" w:customStyle="1" w:styleId="ListNote">
    <w:name w:val="List Note"/>
    <w:basedOn w:val="List"/>
    <w:rsid w:val="00F63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DBB"/>
    <w:rPr>
      <w:rFonts w:ascii="Courier New" w:hAnsi="Courier New"/>
    </w:rPr>
  </w:style>
  <w:style w:type="paragraph" w:customStyle="1" w:styleId="NoteBullet">
    <w:name w:val="Note Bullet"/>
    <w:basedOn w:val="Note"/>
    <w:rsid w:val="00F63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DBB"/>
    <w:rPr>
      <w:b/>
      <w:smallCaps/>
    </w:rPr>
  </w:style>
  <w:style w:type="paragraph" w:customStyle="1" w:styleId="TableListNumber">
    <w:name w:val="Table List Number"/>
    <w:basedOn w:val="ListNumber"/>
    <w:rsid w:val="00F63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DBB"/>
    <w:pPr>
      <w:numPr>
        <w:numId w:val="9"/>
      </w:numPr>
    </w:pPr>
  </w:style>
  <w:style w:type="paragraph" w:customStyle="1" w:styleId="ListAlpha2">
    <w:name w:val="List Alpha 2"/>
    <w:basedOn w:val="List2"/>
    <w:rsid w:val="00F63DBB"/>
    <w:pPr>
      <w:numPr>
        <w:numId w:val="8"/>
      </w:numPr>
    </w:pPr>
  </w:style>
  <w:style w:type="paragraph" w:styleId="List2">
    <w:name w:val="List 2"/>
    <w:basedOn w:val="BodyText"/>
    <w:rsid w:val="00F63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D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DBB"/>
    <w:pPr>
      <w:numPr>
        <w:numId w:val="4"/>
      </w:numPr>
    </w:pPr>
  </w:style>
  <w:style w:type="paragraph" w:styleId="ListContinue2">
    <w:name w:val="List Continue 2"/>
    <w:basedOn w:val="List2"/>
    <w:rsid w:val="00F63DBB"/>
    <w:pPr>
      <w:ind w:firstLine="0"/>
    </w:pPr>
  </w:style>
  <w:style w:type="paragraph" w:styleId="ListContinue3">
    <w:name w:val="List Continue 3"/>
    <w:basedOn w:val="List3"/>
    <w:rsid w:val="00F63DBB"/>
    <w:pPr>
      <w:ind w:left="1021" w:firstLine="0"/>
    </w:pPr>
  </w:style>
  <w:style w:type="paragraph" w:styleId="ListContinue4">
    <w:name w:val="List Continue 4"/>
    <w:basedOn w:val="List4"/>
    <w:rsid w:val="00F63DBB"/>
    <w:pPr>
      <w:ind w:firstLine="0"/>
    </w:pPr>
  </w:style>
  <w:style w:type="paragraph" w:styleId="ListContinue5">
    <w:name w:val="List Continue 5"/>
    <w:basedOn w:val="List5"/>
    <w:rsid w:val="00F63DBB"/>
    <w:pPr>
      <w:ind w:firstLine="0"/>
    </w:pPr>
  </w:style>
  <w:style w:type="paragraph" w:styleId="ListNumber3">
    <w:name w:val="List Number 3"/>
    <w:basedOn w:val="List3"/>
    <w:rsid w:val="00F63DBB"/>
    <w:pPr>
      <w:numPr>
        <w:numId w:val="5"/>
      </w:numPr>
    </w:pPr>
  </w:style>
  <w:style w:type="paragraph" w:styleId="ListNumber4">
    <w:name w:val="List Number 4"/>
    <w:basedOn w:val="List4"/>
    <w:rsid w:val="00F63DBB"/>
    <w:pPr>
      <w:numPr>
        <w:numId w:val="6"/>
      </w:numPr>
    </w:pPr>
  </w:style>
  <w:style w:type="paragraph" w:styleId="ListNumber5">
    <w:name w:val="List Number 5"/>
    <w:basedOn w:val="List5"/>
    <w:rsid w:val="00F63DBB"/>
    <w:pPr>
      <w:numPr>
        <w:numId w:val="7"/>
      </w:numPr>
    </w:pPr>
  </w:style>
  <w:style w:type="paragraph" w:styleId="BlockText">
    <w:name w:val="Block Text"/>
    <w:basedOn w:val="Normal"/>
    <w:rsid w:val="00F63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DBB"/>
    <w:rPr>
      <w:sz w:val="16"/>
      <w:vertAlign w:val="superscript"/>
    </w:rPr>
  </w:style>
  <w:style w:type="character" w:customStyle="1" w:styleId="Symbols">
    <w:name w:val="Symbols"/>
    <w:basedOn w:val="DefaultParagraphFont"/>
    <w:rsid w:val="00F63DBB"/>
    <w:rPr>
      <w:rFonts w:ascii="Symbol" w:hAnsi="Symbol"/>
    </w:rPr>
  </w:style>
  <w:style w:type="character" w:customStyle="1" w:styleId="MenuOptions">
    <w:name w:val="Menu Options"/>
    <w:basedOn w:val="DefaultParagraphFont"/>
    <w:rsid w:val="00F63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DBB"/>
    <w:rPr>
      <w:b/>
    </w:rPr>
  </w:style>
  <w:style w:type="character" w:customStyle="1" w:styleId="Underlined">
    <w:name w:val="Underlined"/>
    <w:basedOn w:val="DefaultParagraphFont"/>
    <w:rsid w:val="00F63DBB"/>
    <w:rPr>
      <w:u w:val="single"/>
    </w:rPr>
  </w:style>
  <w:style w:type="paragraph" w:customStyle="1" w:styleId="TableBodyTextRight">
    <w:name w:val="Table Body Text Right"/>
    <w:basedOn w:val="TableBodyText"/>
    <w:rsid w:val="00F63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DBB"/>
    <w:rPr>
      <w:sz w:val="18"/>
    </w:rPr>
  </w:style>
  <w:style w:type="paragraph" w:customStyle="1" w:styleId="BodySmallRight">
    <w:name w:val="Body Small Right"/>
    <w:basedOn w:val="BodyTextRight"/>
    <w:rsid w:val="00F63DBB"/>
    <w:rPr>
      <w:sz w:val="18"/>
      <w:szCs w:val="18"/>
    </w:rPr>
  </w:style>
  <w:style w:type="paragraph" w:customStyle="1" w:styleId="MarginEdition">
    <w:name w:val="Margin Edition"/>
    <w:basedOn w:val="MarginNote"/>
    <w:rsid w:val="00F63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DBB"/>
    <w:rPr>
      <w:sz w:val="2"/>
      <w:szCs w:val="2"/>
    </w:rPr>
  </w:style>
  <w:style w:type="character" w:customStyle="1" w:styleId="Small">
    <w:name w:val="Small"/>
    <w:basedOn w:val="DefaultParagraphFont"/>
    <w:rsid w:val="00F63DBB"/>
    <w:rPr>
      <w:sz w:val="16"/>
    </w:rPr>
  </w:style>
  <w:style w:type="paragraph" w:customStyle="1" w:styleId="WideTable">
    <w:name w:val="Wide Table"/>
    <w:basedOn w:val="Normal"/>
    <w:rsid w:val="00F63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DBB"/>
  </w:style>
  <w:style w:type="paragraph" w:styleId="Quote">
    <w:name w:val="Quote"/>
    <w:basedOn w:val="Heading1"/>
    <w:link w:val="QuoteChar"/>
    <w:qFormat/>
    <w:rsid w:val="00F63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DBB"/>
    <w:pPr>
      <w:pageBreakBefore/>
    </w:pPr>
  </w:style>
  <w:style w:type="paragraph" w:customStyle="1" w:styleId="Border">
    <w:name w:val="Border"/>
    <w:basedOn w:val="Normal"/>
    <w:qFormat/>
    <w:rsid w:val="00F63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DBB"/>
    <w:rPr>
      <w:u w:val="single"/>
    </w:rPr>
  </w:style>
  <w:style w:type="character" w:customStyle="1" w:styleId="BoldandItalics">
    <w:name w:val="Bold and Italics"/>
    <w:qFormat/>
    <w:rsid w:val="00F63DBB"/>
    <w:rPr>
      <w:b/>
      <w:i/>
      <w:u w:val="none"/>
    </w:rPr>
  </w:style>
  <w:style w:type="paragraph" w:styleId="BalloonText">
    <w:name w:val="Balloon Text"/>
    <w:basedOn w:val="Normal"/>
    <w:link w:val="BalloonTextChar"/>
    <w:rsid w:val="00F63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DBB"/>
    <w:pPr>
      <w:spacing w:before="0" w:after="0"/>
    </w:pPr>
  </w:style>
  <w:style w:type="paragraph" w:customStyle="1" w:styleId="BodyTextBold">
    <w:name w:val="Body Text Bold"/>
    <w:basedOn w:val="BodyText"/>
    <w:qFormat/>
    <w:rsid w:val="00F63DBB"/>
    <w:rPr>
      <w:b/>
    </w:rPr>
  </w:style>
  <w:style w:type="character" w:styleId="Hyperlink">
    <w:name w:val="Hyperlink"/>
    <w:basedOn w:val="DefaultParagraphFont"/>
    <w:uiPriority w:val="99"/>
    <w:unhideWhenUsed/>
    <w:rsid w:val="00422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6307</Characters>
  <Application>Microsoft Office Word</Application>
  <DocSecurity>0</DocSecurity>
  <Lines>225</Lines>
  <Paragraphs>124</Paragraphs>
  <ScaleCrop>false</ScaleCrop>
  <Company>Author-it Software Corporation Ltd.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TLIH0004 Identify major roads, services and attractions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