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B33" w:rsidP="00720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TLIH0002 Implement effective contingency planning</w:t>
      </w:r>
      <w:r>
        <w:fldChar w:fldCharType="end"/>
      </w:r>
    </w:p>
    <w:p w:rsidR="00720B33" w:rsidP="00720B33">
      <w:pPr>
        <w:pStyle w:val="Version"/>
        <w:sectPr w:rsidSect="00572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19A" w:rsidP="0057219A">
      <w:pPr>
        <w:pStyle w:val="SuperHeading"/>
      </w:pPr>
      <w:r w:rsidRPr="0057219A">
        <w:t>TLIH0002 Implement effective contingency planning</w:t>
      </w:r>
    </w:p>
    <w:p w:rsidR="00000000" w:rsidRPr="0057219A" w:rsidP="0057219A">
      <w:pPr>
        <w:pStyle w:val="Heading1"/>
      </w:pPr>
      <w:bookmarkStart w:id="1" w:name="O_973526"/>
      <w:bookmarkEnd w:id="1"/>
      <w:r w:rsidRPr="005721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Release 1. This is the first release of this unit of competency in the TLI Transport and Logistics Training Package.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2" w:name="O_973527"/>
      <w:bookmarkEnd w:id="2"/>
      <w:r w:rsidRPr="005721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This unit involves the skills and knowledge required to implement effective con</w:t>
            </w:r>
            <w:r w:rsidRPr="0057219A">
              <w:t>tingency planning within the transport industry.</w:t>
            </w:r>
          </w:p>
          <w:p w:rsidR="00000000" w:rsidRPr="0057219A" w:rsidP="0057219A">
            <w:pPr>
              <w:pStyle w:val="BodyText"/>
            </w:pPr>
            <w:r w:rsidRPr="0057219A">
              <w:t>It includes identifying issues and problems that impact delivery service, evaluating and developing recovery strategies and implementing contingency plans ensuring delivery service is maintained within busin</w:t>
            </w:r>
            <w:r w:rsidRPr="0057219A">
              <w:t>ess specifications and cost constraints.</w:t>
            </w:r>
          </w:p>
          <w:p w:rsidR="00000000" w:rsidRPr="0057219A" w:rsidP="0057219A">
            <w:pPr>
              <w:pStyle w:val="BodyText"/>
            </w:pPr>
            <w:r w:rsidRPr="0057219A">
              <w:t>Work is performed under minimal supervision.</w:t>
            </w:r>
          </w:p>
          <w:p w:rsidR="00000000" w:rsidRPr="0057219A" w:rsidP="0057219A">
            <w:pPr>
              <w:pStyle w:val="BodyText"/>
            </w:pPr>
            <w:r w:rsidRPr="0057219A">
              <w:t>No licensing, legislative or certification requirements apply to this unit at the time of publication.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3" w:name="O_973528"/>
      <w:bookmarkEnd w:id="3"/>
      <w:r w:rsidRPr="005721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Not applicable.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4" w:name="O_973529"/>
      <w:bookmarkEnd w:id="4"/>
      <w:r w:rsidRPr="005721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H - Route Planning and Navigation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5" w:name="O_973530"/>
      <w:bookmarkEnd w:id="5"/>
      <w:r w:rsidRPr="005721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Not applicable.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6" w:name="O_973531"/>
      <w:bookmarkEnd w:id="6"/>
      <w:r w:rsidRPr="0057219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PERFORMANCE CRITERIA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Performance criteria describe the performance needed to demonstrate achievement of the element.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>Identify issues and problems that impact delivery service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Potenti</w:t>
            </w:r>
            <w:r w:rsidRPr="0057219A">
              <w:t>al internal and external issues that impact the delivery service of goods, cargo and the company brand are identified in accordance 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 xml:space="preserve">Potential impact of associated issues/problems to </w:t>
            </w:r>
            <w:r w:rsidRPr="0057219A">
              <w:t>delivery service relating to safety of dr</w:t>
            </w:r>
            <w:r w:rsidRPr="0057219A">
              <w:t>iver and relevant people are identified in accordance 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 xml:space="preserve">Work health and safety (WHS)/occupational health and safety (OHS)/occupational safety and health (OSH) regulatory and permit requirements for job/work </w:t>
            </w:r>
            <w:r w:rsidRPr="0057219A">
              <w:t>specifications are identified and submitted in accordance with workplace procedures and regulatory requirements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Cost constraints affecting commercial requirements are identified in accordance 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Associated issues are id</w:t>
            </w:r>
            <w:r w:rsidRPr="0057219A">
              <w:t>entified and prioritised in relation to the impact on delivery service and company brand in accordance 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>Evaluate and develop recovery strategy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Contingency possibilities are aligned to rectification of critical issues identif</w:t>
            </w:r>
            <w:r w:rsidRPr="0057219A">
              <w:t>ied in accordance with regulatory requirements, commercial requirements, job specification and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Contingency risk mitigation alternatives and recovery options are evaluated against job specifications, route variations from supplie</w:t>
            </w:r>
            <w:r w:rsidRPr="0057219A">
              <w:t>r and cost constraints in accordance with regulatory requirements, commercial requirements and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Contingency plan for rectification is developed ensuring adequate risk safeguards and appropriate resources are in place in accordance 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>Implement contingency plan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Contingency plan is tested after consultation and clarificati</w:t>
            </w:r>
            <w:r w:rsidRPr="0057219A">
              <w:t>on, and any rectification is undertaken in accordance with regulatory requirements and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Contingency plan is submitted to relevant person/s for approval in accordance 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Contingency plan procedure is implemented and communicated in accordance 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 xml:space="preserve">Contingency plan is monitored to ensure rectification of service is maintained within business specifications and cost constraints in accordance </w:t>
            </w:r>
            <w:r w:rsidRPr="0057219A">
              <w:t>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rPr>
                <w:rStyle w:val="SpecialBold"/>
              </w:rPr>
              <w:t xml:space="preserve">Document, review and report on contingency </w:t>
            </w:r>
            <w:r w:rsidRPr="0057219A">
              <w:rPr>
                <w:rStyle w:val="SpecialBold"/>
              </w:rPr>
              <w:t>plan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 xml:space="preserve">All resources required for contingency plan action are reviewed in accordance with business specifications, </w:t>
            </w:r>
            <w:r w:rsidRPr="0057219A">
              <w:t>cost constraints and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t>Contingency plan i</w:t>
            </w:r>
            <w:r w:rsidRPr="0057219A">
              <w:t>mprovement actions in development and implementation of the plan are documented and outcomes reported to relevant person/s in accordance with workplace procedures</w:t>
            </w:r>
          </w:p>
        </w:tc>
      </w:tr>
      <w:tr w:rsidTr="005721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9A">
            <w:pPr>
              <w:pStyle w:val="BodyText"/>
              <w:rPr>
                <w:lang w:val="en-NZ"/>
              </w:rPr>
            </w:pPr>
            <w:r w:rsidRPr="0057219A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Continuous improvement strategy is undertaken via review of operational procedures and</w:t>
            </w:r>
            <w:r w:rsidRPr="0057219A">
              <w:t xml:space="preserve"> amending in line with contingency actions undertaken in accordance with workplace procedures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7" w:name="O_973532"/>
      <w:bookmarkEnd w:id="7"/>
      <w:r w:rsidRPr="005721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Foundation skills essential to performance are explicit in the performance criteria of this unit of competency.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8" w:name="O_973533"/>
      <w:bookmarkEnd w:id="8"/>
      <w:r w:rsidRPr="005721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Range is restricted to essential operating conditions and any other variables essential to the work environment.</w:t>
            </w:r>
          </w:p>
          <w:p w:rsidR="00000000" w:rsidRPr="0057219A" w:rsidP="0057219A">
            <w:pPr>
              <w:pStyle w:val="BodyText"/>
            </w:pPr>
            <w:r w:rsidRPr="0057219A">
              <w:t>Non -essential conditions may be found in the Companion Volume Implementation Guide.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9" w:name="O_973534"/>
      <w:bookmarkEnd w:id="9"/>
      <w:r w:rsidRPr="0057219A">
        <w:t>Unit Mappin</w:t>
      </w:r>
      <w:r w:rsidRPr="0057219A">
        <w:t>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9A" w:rsidP="0057219A">
            <w:pPr>
              <w:pStyle w:val="BodyText"/>
            </w:pPr>
            <w:r w:rsidRPr="0057219A">
              <w:t>This is a new unit. No equivalent unit.</w:t>
            </w:r>
          </w:p>
        </w:tc>
      </w:tr>
    </w:tbl>
    <w:p w:rsidR="00000000" w:rsidRPr="0057219A" w:rsidP="0057219A">
      <w:pPr>
        <w:pStyle w:val="NoPaddingFontSize1"/>
      </w:pPr>
    </w:p>
    <w:p w:rsidR="00000000" w:rsidRPr="0057219A" w:rsidP="0057219A">
      <w:pPr>
        <w:pStyle w:val="AllowPageBreak"/>
      </w:pPr>
    </w:p>
    <w:p w:rsidR="00000000" w:rsidRPr="0057219A" w:rsidP="0057219A">
      <w:pPr>
        <w:pStyle w:val="Heading1"/>
      </w:pPr>
      <w:bookmarkStart w:id="10" w:name="O_973541"/>
      <w:bookmarkEnd w:id="10"/>
      <w:r w:rsidRPr="0057219A">
        <w:t>Links</w:t>
      </w:r>
    </w:p>
    <w:p w:rsidR="00000000" w:rsidRPr="0057219A" w:rsidP="00720B33">
      <w:pPr>
        <w:pStyle w:val="BodyText"/>
      </w:pPr>
      <w:r w:rsidRPr="005721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40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219A" w:rsidP="0057219A"/>
    <w:sectPr w:rsidSect="005721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9A" w:rsidRPr="00720B33" w:rsidP="00720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33" w:rsidP="00572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B33" w:rsidP="00572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0B33" w:rsidP="00572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19A" w:rsidRPr="00720B33" w:rsidP="00720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33" w:rsidRPr="002D2AF8" w:rsidP="00572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TLIH0002 Implement effective contingency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20B33" w:rsidP="00572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19A"/>
  </w:style>
  <w:style w:type="character" w:customStyle="1" w:styleId="Heading1Char">
    <w:name w:val="Heading 1 Char"/>
    <w:basedOn w:val="DefaultParagraphFont"/>
    <w:link w:val="Heading1"/>
    <w:rsid w:val="00572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1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219A"/>
    <w:rPr>
      <w:b/>
      <w:spacing w:val="0"/>
    </w:rPr>
  </w:style>
  <w:style w:type="paragraph" w:customStyle="1" w:styleId="SuperHeading">
    <w:name w:val="SuperHeading"/>
    <w:basedOn w:val="Normal"/>
    <w:rsid w:val="00572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2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1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1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2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1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19A"/>
    <w:rPr>
      <w:i/>
    </w:rPr>
  </w:style>
  <w:style w:type="paragraph" w:styleId="Caption">
    <w:name w:val="caption"/>
    <w:basedOn w:val="BodyText"/>
    <w:next w:val="Normal"/>
    <w:qFormat/>
    <w:rsid w:val="00572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19A"/>
  </w:style>
  <w:style w:type="paragraph" w:styleId="TableofFigures">
    <w:name w:val="table of figures"/>
    <w:basedOn w:val="Normal"/>
    <w:next w:val="Normal"/>
    <w:semiHidden/>
    <w:rsid w:val="00572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1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219A"/>
    <w:rPr>
      <w:rFonts w:ascii="Wingdings" w:hAnsi="Wingdings"/>
    </w:rPr>
  </w:style>
  <w:style w:type="paragraph" w:customStyle="1" w:styleId="TableHeading">
    <w:name w:val="Table Heading"/>
    <w:basedOn w:val="HeadingBase"/>
    <w:rsid w:val="00572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19A"/>
    <w:rPr>
      <w:color w:val="0033CC"/>
      <w:u w:val="none"/>
    </w:rPr>
  </w:style>
  <w:style w:type="paragraph" w:customStyle="1" w:styleId="BodyTextRight">
    <w:name w:val="Body Text Right"/>
    <w:basedOn w:val="BodyText"/>
    <w:rsid w:val="00572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1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19A"/>
    <w:rPr>
      <w:sz w:val="32"/>
    </w:rPr>
  </w:style>
  <w:style w:type="paragraph" w:customStyle="1" w:styleId="HeadingProcedure">
    <w:name w:val="Heading Procedure"/>
    <w:basedOn w:val="HeadingBase"/>
    <w:next w:val="Normal"/>
    <w:rsid w:val="00572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19A"/>
    <w:pPr>
      <w:spacing w:before="60" w:after="60"/>
    </w:pPr>
  </w:style>
  <w:style w:type="paragraph" w:styleId="ListContinue">
    <w:name w:val="List Continue"/>
    <w:basedOn w:val="List"/>
    <w:rsid w:val="0057219A"/>
    <w:pPr>
      <w:ind w:firstLine="0"/>
    </w:pPr>
  </w:style>
  <w:style w:type="paragraph" w:customStyle="1" w:styleId="ListNote">
    <w:name w:val="List Note"/>
    <w:basedOn w:val="List"/>
    <w:rsid w:val="00572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19A"/>
    <w:rPr>
      <w:rFonts w:ascii="Courier New" w:hAnsi="Courier New"/>
    </w:rPr>
  </w:style>
  <w:style w:type="paragraph" w:customStyle="1" w:styleId="NoteBullet">
    <w:name w:val="Note Bullet"/>
    <w:basedOn w:val="Note"/>
    <w:rsid w:val="00572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1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2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19A"/>
    <w:rPr>
      <w:b/>
      <w:smallCaps/>
    </w:rPr>
  </w:style>
  <w:style w:type="paragraph" w:customStyle="1" w:styleId="TableListNumber">
    <w:name w:val="Table List Number"/>
    <w:basedOn w:val="ListNumber"/>
    <w:rsid w:val="00572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19A"/>
    <w:pPr>
      <w:numPr>
        <w:numId w:val="7"/>
      </w:numPr>
    </w:pPr>
  </w:style>
  <w:style w:type="paragraph" w:customStyle="1" w:styleId="ListAlpha2">
    <w:name w:val="List Alpha 2"/>
    <w:basedOn w:val="List2"/>
    <w:rsid w:val="0057219A"/>
    <w:pPr>
      <w:numPr>
        <w:numId w:val="6"/>
      </w:numPr>
    </w:pPr>
  </w:style>
  <w:style w:type="paragraph" w:styleId="List2">
    <w:name w:val="List 2"/>
    <w:basedOn w:val="BodyText"/>
    <w:rsid w:val="00572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1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1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219A"/>
    <w:pPr>
      <w:numPr>
        <w:numId w:val="2"/>
      </w:numPr>
    </w:pPr>
  </w:style>
  <w:style w:type="paragraph" w:styleId="ListContinue2">
    <w:name w:val="List Continue 2"/>
    <w:basedOn w:val="List2"/>
    <w:rsid w:val="0057219A"/>
    <w:pPr>
      <w:ind w:firstLine="0"/>
    </w:pPr>
  </w:style>
  <w:style w:type="paragraph" w:styleId="ListContinue3">
    <w:name w:val="List Continue 3"/>
    <w:basedOn w:val="List3"/>
    <w:rsid w:val="0057219A"/>
    <w:pPr>
      <w:ind w:left="1021" w:firstLine="0"/>
    </w:pPr>
  </w:style>
  <w:style w:type="paragraph" w:styleId="ListContinue4">
    <w:name w:val="List Continue 4"/>
    <w:basedOn w:val="List4"/>
    <w:rsid w:val="0057219A"/>
    <w:pPr>
      <w:ind w:firstLine="0"/>
    </w:pPr>
  </w:style>
  <w:style w:type="paragraph" w:styleId="ListContinue5">
    <w:name w:val="List Continue 5"/>
    <w:basedOn w:val="List5"/>
    <w:rsid w:val="0057219A"/>
    <w:pPr>
      <w:ind w:firstLine="0"/>
    </w:pPr>
  </w:style>
  <w:style w:type="paragraph" w:styleId="ListNumber3">
    <w:name w:val="List Number 3"/>
    <w:basedOn w:val="List3"/>
    <w:rsid w:val="0057219A"/>
    <w:pPr>
      <w:numPr>
        <w:numId w:val="3"/>
      </w:numPr>
    </w:pPr>
  </w:style>
  <w:style w:type="paragraph" w:styleId="ListNumber4">
    <w:name w:val="List Number 4"/>
    <w:basedOn w:val="List4"/>
    <w:rsid w:val="0057219A"/>
    <w:pPr>
      <w:numPr>
        <w:numId w:val="4"/>
      </w:numPr>
    </w:pPr>
  </w:style>
  <w:style w:type="paragraph" w:styleId="ListNumber5">
    <w:name w:val="List Number 5"/>
    <w:basedOn w:val="List5"/>
    <w:rsid w:val="0057219A"/>
    <w:pPr>
      <w:numPr>
        <w:numId w:val="5"/>
      </w:numPr>
    </w:pPr>
  </w:style>
  <w:style w:type="paragraph" w:styleId="BlockText">
    <w:name w:val="Block Text"/>
    <w:basedOn w:val="Normal"/>
    <w:rsid w:val="00572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19A"/>
    <w:rPr>
      <w:sz w:val="16"/>
      <w:vertAlign w:val="superscript"/>
    </w:rPr>
  </w:style>
  <w:style w:type="character" w:customStyle="1" w:styleId="Symbols">
    <w:name w:val="Symbols"/>
    <w:basedOn w:val="DefaultParagraphFont"/>
    <w:rsid w:val="0057219A"/>
    <w:rPr>
      <w:rFonts w:ascii="Symbol" w:hAnsi="Symbol"/>
    </w:rPr>
  </w:style>
  <w:style w:type="character" w:customStyle="1" w:styleId="MenuOptions">
    <w:name w:val="Menu Options"/>
    <w:basedOn w:val="DefaultParagraphFont"/>
    <w:rsid w:val="00572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19A"/>
    <w:rPr>
      <w:b/>
    </w:rPr>
  </w:style>
  <w:style w:type="character" w:customStyle="1" w:styleId="Underlined">
    <w:name w:val="Underlined"/>
    <w:basedOn w:val="DefaultParagraphFont"/>
    <w:rsid w:val="0057219A"/>
    <w:rPr>
      <w:u w:val="single"/>
    </w:rPr>
  </w:style>
  <w:style w:type="paragraph" w:customStyle="1" w:styleId="TableBodyTextRight">
    <w:name w:val="Table Body Text Right"/>
    <w:basedOn w:val="TableBodyText"/>
    <w:rsid w:val="00572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19A"/>
    <w:rPr>
      <w:sz w:val="18"/>
    </w:rPr>
  </w:style>
  <w:style w:type="paragraph" w:customStyle="1" w:styleId="BodySmallRight">
    <w:name w:val="Body Small Right"/>
    <w:basedOn w:val="BodyTextRight"/>
    <w:rsid w:val="0057219A"/>
    <w:rPr>
      <w:sz w:val="18"/>
      <w:szCs w:val="18"/>
    </w:rPr>
  </w:style>
  <w:style w:type="paragraph" w:customStyle="1" w:styleId="MarginEdition">
    <w:name w:val="Margin Edition"/>
    <w:basedOn w:val="MarginNote"/>
    <w:rsid w:val="00572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19A"/>
    <w:rPr>
      <w:sz w:val="2"/>
      <w:szCs w:val="2"/>
    </w:rPr>
  </w:style>
  <w:style w:type="character" w:customStyle="1" w:styleId="Small">
    <w:name w:val="Small"/>
    <w:basedOn w:val="DefaultParagraphFont"/>
    <w:rsid w:val="0057219A"/>
    <w:rPr>
      <w:sz w:val="16"/>
    </w:rPr>
  </w:style>
  <w:style w:type="paragraph" w:customStyle="1" w:styleId="WideTable">
    <w:name w:val="Wide Table"/>
    <w:basedOn w:val="Normal"/>
    <w:rsid w:val="00572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19A"/>
  </w:style>
  <w:style w:type="paragraph" w:styleId="Quote">
    <w:name w:val="Quote"/>
    <w:basedOn w:val="Heading1"/>
    <w:link w:val="QuoteChar"/>
    <w:qFormat/>
    <w:rsid w:val="00572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19A"/>
    <w:pPr>
      <w:pageBreakBefore/>
    </w:pPr>
  </w:style>
  <w:style w:type="paragraph" w:customStyle="1" w:styleId="Border">
    <w:name w:val="Border"/>
    <w:basedOn w:val="Normal"/>
    <w:qFormat/>
    <w:rsid w:val="00572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19A"/>
    <w:rPr>
      <w:u w:val="single"/>
    </w:rPr>
  </w:style>
  <w:style w:type="character" w:customStyle="1" w:styleId="BoldandItalics">
    <w:name w:val="Bold and Italics"/>
    <w:qFormat/>
    <w:rsid w:val="0057219A"/>
    <w:rPr>
      <w:b/>
      <w:i/>
      <w:u w:val="none"/>
    </w:rPr>
  </w:style>
  <w:style w:type="paragraph" w:styleId="BalloonText">
    <w:name w:val="Balloon Text"/>
    <w:basedOn w:val="Normal"/>
    <w:link w:val="BalloonTextChar"/>
    <w:rsid w:val="00572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19A"/>
    <w:pPr>
      <w:spacing w:before="0" w:after="0"/>
    </w:pPr>
  </w:style>
  <w:style w:type="paragraph" w:customStyle="1" w:styleId="BodyTextBold">
    <w:name w:val="Body Text Bold"/>
    <w:basedOn w:val="BodyText"/>
    <w:qFormat/>
    <w:rsid w:val="0057219A"/>
    <w:rPr>
      <w:b/>
    </w:rPr>
  </w:style>
  <w:style w:type="character" w:styleId="Hyperlink">
    <w:name w:val="Hyperlink"/>
    <w:basedOn w:val="DefaultParagraphFont"/>
    <w:uiPriority w:val="99"/>
    <w:unhideWhenUsed/>
    <w:rsid w:val="00720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4055</Characters>
  <Application>Microsoft Office Word</Application>
  <DocSecurity>0</DocSecurity>
  <Lines>176</Lines>
  <Paragraphs>81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TLIH0002 Implement effective contingency planning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