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7BD" w:rsidP="00271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TLIG2007 Work in a socially diverse environment</w:t>
      </w:r>
      <w:r>
        <w:fldChar w:fldCharType="end"/>
      </w:r>
    </w:p>
    <w:p w:rsidR="002717BD" w:rsidP="002717BD">
      <w:pPr>
        <w:pStyle w:val="Version"/>
        <w:sectPr w:rsidSect="006A6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60C6" w:rsidP="006A60C6">
      <w:pPr>
        <w:pStyle w:val="SuperHeading"/>
      </w:pPr>
      <w:r w:rsidRPr="006A60C6">
        <w:t>Assessment Requirements for TLIG2007 Work in a socially diverse environment</w:t>
      </w:r>
    </w:p>
    <w:p w:rsidR="00000000" w:rsidRPr="006A60C6" w:rsidP="006A60C6">
      <w:pPr>
        <w:pStyle w:val="Heading1"/>
      </w:pPr>
      <w:bookmarkStart w:id="1" w:name="O_1118962"/>
      <w:bookmarkEnd w:id="1"/>
      <w:r w:rsidRPr="006A60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C6" w:rsidP="006A60C6">
            <w:pPr>
              <w:pStyle w:val="BodyText"/>
            </w:pPr>
            <w:r w:rsidRPr="006A60C6">
              <w:rPr>
                <w:rStyle w:val="SpecialBold"/>
              </w:rPr>
              <w:t>Release 2</w:t>
            </w:r>
            <w:r w:rsidRPr="006A60C6">
              <w:t>. This is the second release of this unit of competency in the TLI Transport and Logistics Training Package:</w:t>
            </w:r>
          </w:p>
          <w:p w:rsidR="00000000" w:rsidRPr="006A60C6" w:rsidP="006A60C6">
            <w:pPr>
              <w:pStyle w:val="ListBullet"/>
            </w:pPr>
            <w:r w:rsidRPr="006A60C6">
              <w:t>Minor statemen</w:t>
            </w:r>
            <w:r w:rsidRPr="006A60C6">
              <w:t>t changes in Knowledge Evidence</w:t>
            </w:r>
          </w:p>
          <w:p w:rsidR="00000000" w:rsidP="006A60C6">
            <w:pPr>
              <w:pStyle w:val="ListBullet"/>
              <w:rPr>
                <w:lang w:val="en-NZ"/>
              </w:rPr>
            </w:pPr>
            <w:r w:rsidRPr="006A60C6">
              <w:t>Minor statement changes in Assessment Conditions.</w:t>
            </w:r>
          </w:p>
        </w:tc>
      </w:tr>
      <w:tr w:rsidTr="006A6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C6" w:rsidP="006A60C6">
            <w:pPr>
              <w:pStyle w:val="BodyText"/>
            </w:pPr>
            <w:r w:rsidRPr="006A60C6">
              <w:rPr>
                <w:rStyle w:val="SpecialBold"/>
              </w:rPr>
              <w:t>Release 1</w:t>
            </w:r>
            <w:r w:rsidRPr="006A60C6">
              <w:t>. This is the first release of this unit of competency in the TLI Transport and Logistics Training Package.</w:t>
            </w:r>
          </w:p>
        </w:tc>
      </w:tr>
    </w:tbl>
    <w:p w:rsidR="00000000" w:rsidRPr="006A60C6" w:rsidP="006A60C6">
      <w:pPr>
        <w:pStyle w:val="NoPaddingFontSize1"/>
      </w:pPr>
    </w:p>
    <w:p w:rsidR="00000000" w:rsidRPr="006A60C6" w:rsidP="006A60C6">
      <w:pPr>
        <w:pStyle w:val="AllowPageBreak"/>
      </w:pPr>
    </w:p>
    <w:p w:rsidR="00000000" w:rsidRPr="006A60C6" w:rsidP="006A60C6">
      <w:pPr>
        <w:pStyle w:val="Heading1"/>
      </w:pPr>
      <w:bookmarkStart w:id="2" w:name="O_1118961"/>
      <w:bookmarkEnd w:id="2"/>
      <w:r w:rsidRPr="006A60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C6" w:rsidP="006A60C6">
            <w:pPr>
              <w:pStyle w:val="BodyText"/>
            </w:pPr>
            <w:r w:rsidRPr="006A60C6">
              <w:t>Evidence requi</w:t>
            </w:r>
            <w:r w:rsidRPr="006A60C6">
              <w:t>red to demonstrate competence in this unit must be relevant to and satisfy all of the requirements of the elements and performance criteria on at least one occasion and include:</w:t>
            </w:r>
          </w:p>
          <w:p w:rsidR="00000000" w:rsidRPr="006A60C6" w:rsidP="006A60C6">
            <w:pPr>
              <w:pStyle w:val="ListBullet"/>
            </w:pPr>
            <w:r w:rsidRPr="006A60C6">
              <w:t>adapting appropriately to cultural differences in the workplace, including mo</w:t>
            </w:r>
            <w:r w:rsidRPr="006A60C6">
              <w:t>des of behaviour and interactions with others</w:t>
            </w:r>
          </w:p>
          <w:p w:rsidR="00000000" w:rsidRPr="006A60C6" w:rsidP="006A60C6">
            <w:pPr>
              <w:pStyle w:val="ListBullet"/>
            </w:pPr>
            <w:r w:rsidRPr="006A60C6">
              <w:t>communicating and working effectively with others when working in a socially diverse environment</w:t>
            </w:r>
          </w:p>
          <w:p w:rsidR="00000000" w:rsidRPr="006A60C6" w:rsidP="006A60C6">
            <w:pPr>
              <w:pStyle w:val="ListBullet"/>
            </w:pPr>
            <w:r w:rsidRPr="006A60C6">
              <w:t>completing documentation related to working in a socially diverse environment</w:t>
            </w:r>
          </w:p>
          <w:p w:rsidR="00000000" w:rsidRPr="006A60C6" w:rsidP="006A60C6">
            <w:pPr>
              <w:pStyle w:val="ListBullet"/>
            </w:pPr>
            <w:r w:rsidRPr="006A60C6">
              <w:t>reading, interpreting and applying instructions, legislation, procedures, information and signs relevant to working in a socially diverse environment</w:t>
            </w:r>
          </w:p>
          <w:p w:rsidR="00000000" w:rsidRPr="006A60C6" w:rsidP="006A60C6">
            <w:pPr>
              <w:pStyle w:val="ListBullet"/>
            </w:pPr>
            <w:r w:rsidRPr="006A60C6">
              <w:t>reporting and/or rectifying identified problems promptly, in accordance with regulatory requirements and w</w:t>
            </w:r>
            <w:r w:rsidRPr="006A60C6">
              <w:t>orkplace procedures.</w:t>
            </w:r>
          </w:p>
        </w:tc>
      </w:tr>
    </w:tbl>
    <w:p w:rsidR="00000000" w:rsidRPr="006A60C6" w:rsidP="006A60C6">
      <w:pPr>
        <w:pStyle w:val="NoPaddingFontSize1"/>
      </w:pPr>
    </w:p>
    <w:p w:rsidR="00000000" w:rsidRPr="006A60C6" w:rsidP="006A60C6">
      <w:pPr>
        <w:pStyle w:val="AllowPageBreak"/>
      </w:pPr>
    </w:p>
    <w:p w:rsidR="00000000" w:rsidRPr="006A60C6" w:rsidP="006A60C6">
      <w:pPr>
        <w:pStyle w:val="Heading1"/>
      </w:pPr>
      <w:bookmarkStart w:id="3" w:name="O_1118960"/>
      <w:bookmarkEnd w:id="3"/>
      <w:r w:rsidRPr="006A60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C6" w:rsidP="006A60C6">
            <w:pPr>
              <w:pStyle w:val="BodyText"/>
            </w:pPr>
            <w:r w:rsidRPr="006A60C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A60C6" w:rsidP="006A60C6">
            <w:pPr>
              <w:pStyle w:val="ListBullet"/>
            </w:pPr>
            <w:r w:rsidRPr="006A60C6">
              <w:t>awareness of t</w:t>
            </w:r>
            <w:r w:rsidRPr="006A60C6">
              <w:t>he culture of Australia’s Indigenous and non-Indigenous peoples</w:t>
            </w:r>
          </w:p>
          <w:p w:rsidR="00000000" w:rsidRPr="006A60C6" w:rsidP="006A60C6">
            <w:pPr>
              <w:pStyle w:val="ListBullet"/>
            </w:pPr>
            <w:r w:rsidRPr="006A60C6">
              <w:t>cultural awareness</w:t>
            </w:r>
          </w:p>
          <w:p w:rsidR="00000000" w:rsidRPr="006A60C6" w:rsidP="006A60C6">
            <w:pPr>
              <w:pStyle w:val="ListBullet"/>
            </w:pPr>
            <w:r w:rsidRPr="006A60C6">
              <w:t>principles of equal employment opportunity (EEO) and anti-discrimination legislation as they apply to individual employees</w:t>
            </w:r>
          </w:p>
          <w:p w:rsidR="00000000" w:rsidRPr="006A60C6" w:rsidP="006A60C6">
            <w:pPr>
              <w:pStyle w:val="ListBullet"/>
            </w:pPr>
            <w:r w:rsidRPr="006A60C6">
              <w:t>principles that underpin cultural awareness</w:t>
            </w:r>
          </w:p>
          <w:p w:rsidR="00000000" w:rsidRPr="006A60C6" w:rsidP="006A60C6">
            <w:pPr>
              <w:pStyle w:val="ListBullet"/>
            </w:pPr>
            <w:r w:rsidRPr="006A60C6">
              <w:t>recogn</w:t>
            </w:r>
            <w:r w:rsidRPr="006A60C6">
              <w:t>ition of the different cultural groups in Australian society</w:t>
            </w:r>
          </w:p>
          <w:p w:rsidR="00000000" w:rsidRPr="006A60C6" w:rsidP="006A60C6">
            <w:pPr>
              <w:pStyle w:val="ListBullet"/>
            </w:pPr>
            <w:r w:rsidRPr="006A60C6">
              <w:t>recognition of various international customer groups (appropriate to the sector and individual workplace)</w:t>
            </w:r>
          </w:p>
          <w:p w:rsidR="00000000" w:rsidRPr="006A60C6" w:rsidP="006A60C6">
            <w:pPr>
              <w:pStyle w:val="ListBullet"/>
            </w:pPr>
            <w:r w:rsidRPr="006A60C6">
              <w:t>typical cross-cultural misunderstandings and problems, and appropriate ways of dealing with them</w:t>
            </w:r>
          </w:p>
          <w:p w:rsidR="00000000" w:rsidRPr="006A60C6" w:rsidP="006A60C6">
            <w:pPr>
              <w:pStyle w:val="ListBullet"/>
            </w:pPr>
            <w:r w:rsidRPr="006A60C6">
              <w:t>typical modifications or reasonable adjustments that can occur in a workplace</w:t>
            </w:r>
          </w:p>
          <w:p w:rsidR="00000000" w:rsidRPr="006A60C6" w:rsidP="006A60C6">
            <w:pPr>
              <w:pStyle w:val="ListBullet"/>
            </w:pPr>
            <w:r w:rsidRPr="006A60C6">
              <w:t>workplace policies and procedures relevant to socially diverse work environment.</w:t>
            </w:r>
          </w:p>
        </w:tc>
      </w:tr>
    </w:tbl>
    <w:p w:rsidR="00000000" w:rsidRPr="006A60C6" w:rsidP="006A60C6">
      <w:pPr>
        <w:pStyle w:val="NoPaddingFontSize1"/>
      </w:pPr>
    </w:p>
    <w:p w:rsidR="00000000" w:rsidRPr="006A60C6" w:rsidP="006A60C6">
      <w:pPr>
        <w:pStyle w:val="AllowPageBreak"/>
      </w:pPr>
    </w:p>
    <w:p w:rsidR="00000000" w:rsidRPr="006A60C6" w:rsidP="006A60C6">
      <w:pPr>
        <w:pStyle w:val="Heading1"/>
      </w:pPr>
      <w:bookmarkStart w:id="4" w:name="O_1118959"/>
      <w:bookmarkEnd w:id="4"/>
      <w:r w:rsidRPr="006A60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0C6" w:rsidP="006A60C6">
            <w:pPr>
              <w:pStyle w:val="BodyText"/>
            </w:pPr>
            <w:r w:rsidRPr="006A60C6">
              <w:t xml:space="preserve">Assessors must hold credentials specified within the Standards for Registered Training Organisations current at the time of assessment. </w:t>
            </w:r>
          </w:p>
          <w:p w:rsidR="00000000" w:rsidRPr="006A60C6" w:rsidP="006A60C6">
            <w:pPr>
              <w:pStyle w:val="BodyText"/>
            </w:pPr>
            <w:r w:rsidRPr="006A60C6">
              <w:t>Assessment must satisfy the Principles of Assessment and Rules of Evidence a</w:t>
            </w:r>
            <w:r w:rsidRPr="006A60C6">
              <w:t>nd all regulatory requirements included within the Standards for Registered Training Organisations current at the time of assessment.</w:t>
            </w:r>
          </w:p>
          <w:p w:rsidR="00000000" w:rsidRPr="006A60C6" w:rsidP="006A60C6">
            <w:pPr>
              <w:pStyle w:val="BodyText"/>
            </w:pPr>
            <w:r w:rsidRPr="006A60C6">
              <w:t>Assessment must occur in workplace operational situations where it is appropriate to do so; where this is not appropriate,</w:t>
            </w:r>
            <w:r w:rsidRPr="006A60C6">
              <w:t xml:space="preserve"> assessment must occur in simulated workplace operational situations that replicate workplace conditions.</w:t>
            </w:r>
          </w:p>
          <w:p w:rsidR="00000000" w:rsidRPr="006A60C6" w:rsidP="006A60C6">
            <w:pPr>
              <w:pStyle w:val="BodyText"/>
            </w:pPr>
            <w:r w:rsidRPr="006A60C6">
              <w:t xml:space="preserve">Assessment processes and techniques must be appropriate to the language, literacy and numeracy requirements of the work being performed and the needs </w:t>
            </w:r>
            <w:r w:rsidRPr="006A60C6">
              <w:t>of the candidate.</w:t>
            </w:r>
          </w:p>
          <w:p w:rsidR="00000000" w:rsidRPr="006A60C6" w:rsidP="006A60C6">
            <w:pPr>
              <w:pStyle w:val="BodyText"/>
            </w:pPr>
            <w:r w:rsidRPr="006A60C6">
              <w:t>Resources for assessment must include access to:</w:t>
            </w:r>
          </w:p>
          <w:p w:rsidR="00000000" w:rsidRPr="006A60C6" w:rsidP="006A60C6">
            <w:pPr>
              <w:pStyle w:val="ListBullet"/>
            </w:pPr>
            <w:r w:rsidRPr="006A60C6">
              <w:t>a range of relevant exercises, case studies and/or other simulations</w:t>
            </w:r>
          </w:p>
          <w:p w:rsidR="00000000" w:rsidRPr="006A60C6" w:rsidP="006A60C6">
            <w:pPr>
              <w:pStyle w:val="ListBullet"/>
            </w:pPr>
            <w:r w:rsidRPr="006A60C6">
              <w:t>relevant and appropriate materials, equipment and personal protective equipment (PPE) currently used in industry</w:t>
            </w:r>
          </w:p>
          <w:p w:rsidR="00000000" w:rsidRPr="006A60C6" w:rsidP="006A60C6">
            <w:pPr>
              <w:pStyle w:val="ListBullet"/>
            </w:pPr>
            <w:r w:rsidRPr="006A60C6">
              <w:t>applicable documentation including workplace procedures, regulations and codes of practice.</w:t>
            </w:r>
          </w:p>
        </w:tc>
      </w:tr>
    </w:tbl>
    <w:p w:rsidR="00000000" w:rsidRPr="006A60C6" w:rsidP="006A60C6">
      <w:pPr>
        <w:pStyle w:val="NoPaddingFontSize1"/>
      </w:pPr>
    </w:p>
    <w:p w:rsidR="00000000" w:rsidRPr="006A60C6" w:rsidP="006A60C6">
      <w:pPr>
        <w:pStyle w:val="AllowPageBreak"/>
      </w:pPr>
    </w:p>
    <w:p w:rsidR="00000000" w:rsidRPr="006A60C6" w:rsidP="006A60C6">
      <w:pPr>
        <w:pStyle w:val="Heading1"/>
      </w:pPr>
      <w:bookmarkStart w:id="5" w:name="O_1118974"/>
      <w:bookmarkEnd w:id="5"/>
      <w:r w:rsidRPr="006A60C6">
        <w:t>Links</w:t>
      </w:r>
    </w:p>
    <w:p w:rsidR="00000000" w:rsidRPr="006A60C6" w:rsidP="002717BD">
      <w:pPr>
        <w:pStyle w:val="BodyText"/>
      </w:pPr>
      <w:r w:rsidRPr="006A6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E45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60C6" w:rsidP="006A60C6"/>
    <w:sectPr w:rsidSect="006A6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C6" w:rsidRPr="002717BD" w:rsidP="00271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BD" w:rsidP="006A6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7BD" w:rsidP="006A6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17BD" w:rsidP="006A6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0C6" w:rsidRPr="002717BD" w:rsidP="00271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BD" w:rsidRPr="002D2AF8" w:rsidP="006A6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TLIG2007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17BD" w:rsidP="006A6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343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B6A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0C6"/>
  </w:style>
  <w:style w:type="character" w:customStyle="1" w:styleId="Heading1Char">
    <w:name w:val="Heading 1 Char"/>
    <w:basedOn w:val="DefaultParagraphFont"/>
    <w:link w:val="Heading1"/>
    <w:rsid w:val="006A6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0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0C6"/>
    <w:rPr>
      <w:b/>
      <w:spacing w:val="0"/>
    </w:rPr>
  </w:style>
  <w:style w:type="paragraph" w:customStyle="1" w:styleId="SuperHeading">
    <w:name w:val="SuperHeading"/>
    <w:basedOn w:val="Normal"/>
    <w:rsid w:val="006A6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0C6"/>
    <w:rPr>
      <w:i/>
    </w:rPr>
  </w:style>
  <w:style w:type="paragraph" w:styleId="Caption">
    <w:name w:val="caption"/>
    <w:basedOn w:val="BodyText"/>
    <w:next w:val="Normal"/>
    <w:qFormat/>
    <w:rsid w:val="006A6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0C6"/>
  </w:style>
  <w:style w:type="paragraph" w:styleId="TableofFigures">
    <w:name w:val="table of figures"/>
    <w:basedOn w:val="Normal"/>
    <w:next w:val="Normal"/>
    <w:semiHidden/>
    <w:rsid w:val="006A6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0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0C6"/>
    <w:rPr>
      <w:rFonts w:ascii="Wingdings" w:hAnsi="Wingdings"/>
    </w:rPr>
  </w:style>
  <w:style w:type="paragraph" w:customStyle="1" w:styleId="TableHeading">
    <w:name w:val="Table Heading"/>
    <w:basedOn w:val="HeadingBase"/>
    <w:rsid w:val="006A6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0C6"/>
    <w:rPr>
      <w:color w:val="0033CC"/>
      <w:u w:val="none"/>
    </w:rPr>
  </w:style>
  <w:style w:type="paragraph" w:customStyle="1" w:styleId="BodyTextRight">
    <w:name w:val="Body Text Right"/>
    <w:basedOn w:val="BodyText"/>
    <w:rsid w:val="006A6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0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0C6"/>
    <w:rPr>
      <w:sz w:val="32"/>
    </w:rPr>
  </w:style>
  <w:style w:type="paragraph" w:customStyle="1" w:styleId="HeadingProcedure">
    <w:name w:val="Heading Procedure"/>
    <w:basedOn w:val="HeadingBase"/>
    <w:next w:val="Normal"/>
    <w:rsid w:val="006A6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0C6"/>
    <w:pPr>
      <w:spacing w:before="60" w:after="60"/>
    </w:pPr>
  </w:style>
  <w:style w:type="paragraph" w:styleId="ListContinue">
    <w:name w:val="List Continue"/>
    <w:basedOn w:val="List"/>
    <w:rsid w:val="006A60C6"/>
    <w:pPr>
      <w:ind w:firstLine="0"/>
    </w:pPr>
  </w:style>
  <w:style w:type="paragraph" w:customStyle="1" w:styleId="ListNote">
    <w:name w:val="List Note"/>
    <w:basedOn w:val="List"/>
    <w:rsid w:val="006A6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0C6"/>
    <w:rPr>
      <w:rFonts w:ascii="Courier New" w:hAnsi="Courier New"/>
    </w:rPr>
  </w:style>
  <w:style w:type="paragraph" w:customStyle="1" w:styleId="NoteBullet">
    <w:name w:val="Note Bullet"/>
    <w:basedOn w:val="Note"/>
    <w:rsid w:val="006A6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0C6"/>
    <w:rPr>
      <w:b/>
      <w:smallCaps/>
    </w:rPr>
  </w:style>
  <w:style w:type="paragraph" w:customStyle="1" w:styleId="TableListNumber">
    <w:name w:val="Table List Number"/>
    <w:basedOn w:val="ListNumber"/>
    <w:rsid w:val="006A6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0C6"/>
    <w:pPr>
      <w:numPr>
        <w:numId w:val="8"/>
      </w:numPr>
    </w:pPr>
  </w:style>
  <w:style w:type="paragraph" w:customStyle="1" w:styleId="ListAlpha2">
    <w:name w:val="List Alpha 2"/>
    <w:basedOn w:val="List2"/>
    <w:rsid w:val="006A60C6"/>
    <w:pPr>
      <w:numPr>
        <w:numId w:val="7"/>
      </w:numPr>
    </w:pPr>
  </w:style>
  <w:style w:type="paragraph" w:styleId="List2">
    <w:name w:val="List 2"/>
    <w:basedOn w:val="BodyText"/>
    <w:rsid w:val="006A6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0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0C6"/>
    <w:pPr>
      <w:numPr>
        <w:numId w:val="3"/>
      </w:numPr>
    </w:pPr>
  </w:style>
  <w:style w:type="paragraph" w:styleId="ListContinue2">
    <w:name w:val="List Continue 2"/>
    <w:basedOn w:val="List2"/>
    <w:rsid w:val="006A60C6"/>
    <w:pPr>
      <w:ind w:firstLine="0"/>
    </w:pPr>
  </w:style>
  <w:style w:type="paragraph" w:styleId="ListContinue3">
    <w:name w:val="List Continue 3"/>
    <w:basedOn w:val="List3"/>
    <w:rsid w:val="006A60C6"/>
    <w:pPr>
      <w:ind w:left="1021" w:firstLine="0"/>
    </w:pPr>
  </w:style>
  <w:style w:type="paragraph" w:styleId="ListContinue4">
    <w:name w:val="List Continue 4"/>
    <w:basedOn w:val="List4"/>
    <w:rsid w:val="006A60C6"/>
    <w:pPr>
      <w:ind w:firstLine="0"/>
    </w:pPr>
  </w:style>
  <w:style w:type="paragraph" w:styleId="ListContinue5">
    <w:name w:val="List Continue 5"/>
    <w:basedOn w:val="List5"/>
    <w:rsid w:val="006A60C6"/>
    <w:pPr>
      <w:ind w:firstLine="0"/>
    </w:pPr>
  </w:style>
  <w:style w:type="paragraph" w:styleId="ListNumber3">
    <w:name w:val="List Number 3"/>
    <w:basedOn w:val="List3"/>
    <w:rsid w:val="006A60C6"/>
    <w:pPr>
      <w:numPr>
        <w:numId w:val="4"/>
      </w:numPr>
    </w:pPr>
  </w:style>
  <w:style w:type="paragraph" w:styleId="ListNumber4">
    <w:name w:val="List Number 4"/>
    <w:basedOn w:val="List4"/>
    <w:rsid w:val="006A60C6"/>
    <w:pPr>
      <w:numPr>
        <w:numId w:val="5"/>
      </w:numPr>
    </w:pPr>
  </w:style>
  <w:style w:type="paragraph" w:styleId="ListNumber5">
    <w:name w:val="List Number 5"/>
    <w:basedOn w:val="List5"/>
    <w:rsid w:val="006A60C6"/>
    <w:pPr>
      <w:numPr>
        <w:numId w:val="6"/>
      </w:numPr>
    </w:pPr>
  </w:style>
  <w:style w:type="paragraph" w:styleId="BlockText">
    <w:name w:val="Block Text"/>
    <w:basedOn w:val="Normal"/>
    <w:rsid w:val="006A6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0C6"/>
    <w:rPr>
      <w:sz w:val="16"/>
      <w:vertAlign w:val="superscript"/>
    </w:rPr>
  </w:style>
  <w:style w:type="character" w:customStyle="1" w:styleId="Symbols">
    <w:name w:val="Symbols"/>
    <w:basedOn w:val="DefaultParagraphFont"/>
    <w:rsid w:val="006A60C6"/>
    <w:rPr>
      <w:rFonts w:ascii="Symbol" w:hAnsi="Symbol"/>
    </w:rPr>
  </w:style>
  <w:style w:type="character" w:customStyle="1" w:styleId="MenuOptions">
    <w:name w:val="Menu Options"/>
    <w:basedOn w:val="DefaultParagraphFont"/>
    <w:rsid w:val="006A6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0C6"/>
    <w:rPr>
      <w:b/>
    </w:rPr>
  </w:style>
  <w:style w:type="character" w:customStyle="1" w:styleId="Underlined">
    <w:name w:val="Underlined"/>
    <w:basedOn w:val="DefaultParagraphFont"/>
    <w:rsid w:val="006A60C6"/>
    <w:rPr>
      <w:u w:val="single"/>
    </w:rPr>
  </w:style>
  <w:style w:type="paragraph" w:customStyle="1" w:styleId="TableBodyTextRight">
    <w:name w:val="Table Body Text Right"/>
    <w:basedOn w:val="TableBodyText"/>
    <w:rsid w:val="006A6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0C6"/>
    <w:rPr>
      <w:sz w:val="18"/>
    </w:rPr>
  </w:style>
  <w:style w:type="paragraph" w:customStyle="1" w:styleId="BodySmallRight">
    <w:name w:val="Body Small Right"/>
    <w:basedOn w:val="BodyTextRight"/>
    <w:rsid w:val="006A60C6"/>
    <w:rPr>
      <w:sz w:val="18"/>
      <w:szCs w:val="18"/>
    </w:rPr>
  </w:style>
  <w:style w:type="paragraph" w:customStyle="1" w:styleId="MarginEdition">
    <w:name w:val="Margin Edition"/>
    <w:basedOn w:val="MarginNote"/>
    <w:rsid w:val="006A6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0C6"/>
    <w:rPr>
      <w:sz w:val="2"/>
      <w:szCs w:val="2"/>
    </w:rPr>
  </w:style>
  <w:style w:type="character" w:customStyle="1" w:styleId="Small">
    <w:name w:val="Small"/>
    <w:basedOn w:val="DefaultParagraphFont"/>
    <w:rsid w:val="006A60C6"/>
    <w:rPr>
      <w:sz w:val="16"/>
    </w:rPr>
  </w:style>
  <w:style w:type="paragraph" w:customStyle="1" w:styleId="WideTable">
    <w:name w:val="Wide Table"/>
    <w:basedOn w:val="Normal"/>
    <w:rsid w:val="006A6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0C6"/>
  </w:style>
  <w:style w:type="paragraph" w:styleId="Quote">
    <w:name w:val="Quote"/>
    <w:basedOn w:val="Heading1"/>
    <w:link w:val="QuoteChar"/>
    <w:qFormat/>
    <w:rsid w:val="006A6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0C6"/>
    <w:pPr>
      <w:pageBreakBefore/>
    </w:pPr>
  </w:style>
  <w:style w:type="paragraph" w:customStyle="1" w:styleId="Border">
    <w:name w:val="Border"/>
    <w:basedOn w:val="Normal"/>
    <w:qFormat/>
    <w:rsid w:val="006A6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0C6"/>
    <w:rPr>
      <w:u w:val="single"/>
    </w:rPr>
  </w:style>
  <w:style w:type="character" w:customStyle="1" w:styleId="BoldandItalics">
    <w:name w:val="Bold and Italics"/>
    <w:qFormat/>
    <w:rsid w:val="006A60C6"/>
    <w:rPr>
      <w:b/>
      <w:i/>
      <w:u w:val="none"/>
    </w:rPr>
  </w:style>
  <w:style w:type="paragraph" w:styleId="BalloonText">
    <w:name w:val="Balloon Text"/>
    <w:basedOn w:val="Normal"/>
    <w:link w:val="BalloonTextChar"/>
    <w:rsid w:val="006A6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0C6"/>
    <w:pPr>
      <w:spacing w:before="0" w:after="0"/>
    </w:pPr>
  </w:style>
  <w:style w:type="paragraph" w:customStyle="1" w:styleId="BodyTextBold">
    <w:name w:val="Body Text Bold"/>
    <w:basedOn w:val="BodyText"/>
    <w:qFormat/>
    <w:rsid w:val="006A60C6"/>
    <w:rPr>
      <w:b/>
    </w:rPr>
  </w:style>
  <w:style w:type="character" w:styleId="Hyperlink">
    <w:name w:val="Hyperlink"/>
    <w:basedOn w:val="DefaultParagraphFont"/>
    <w:uiPriority w:val="99"/>
    <w:unhideWhenUsed/>
    <w:rsid w:val="00271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3143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TLIG2007 Work in a socially diverse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