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61F" w:rsidP="003776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TLIF5024 Develop plans for emergency response and recovery of rail networks</w:t>
      </w:r>
      <w:r>
        <w:fldChar w:fldCharType="end"/>
      </w:r>
    </w:p>
    <w:p w:rsidR="0037761F" w:rsidP="0037761F">
      <w:pPr>
        <w:pStyle w:val="Version"/>
        <w:sectPr w:rsidSect="00063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10E" w:rsidP="0006310E">
      <w:pPr>
        <w:pStyle w:val="SuperHeading"/>
      </w:pPr>
      <w:r w:rsidRPr="0006310E">
        <w:t>TLIF5024 Develop plans for emergency response and recovery of rail networks</w:t>
      </w:r>
    </w:p>
    <w:p w:rsidR="00000000" w:rsidRPr="0006310E" w:rsidP="0006310E">
      <w:pPr>
        <w:pStyle w:val="Heading1"/>
      </w:pPr>
      <w:bookmarkStart w:id="1" w:name="O_752437"/>
      <w:bookmarkEnd w:id="1"/>
      <w:r w:rsidRPr="0006310E">
        <w:t>Modification History</w:t>
      </w:r>
    </w:p>
    <w:p w:rsidR="0037761F" w:rsidP="0037761F">
      <w:pPr>
        <w:pStyle w:val="BodyText"/>
      </w:pPr>
      <w:r w:rsidRPr="0006310E">
        <w:t>Release 1. This is the first release of this unit of competency in the TLI Transport and Logistics Training Package.</w:t>
      </w:r>
    </w:p>
    <w:p w:rsidR="00000000" w:rsidRPr="0006310E" w:rsidP="0006310E">
      <w:pPr>
        <w:pStyle w:val="Heading1"/>
      </w:pPr>
      <w:bookmarkStart w:id="2" w:name="O_752438"/>
      <w:bookmarkEnd w:id="2"/>
      <w:r w:rsidRPr="0006310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0E" w:rsidP="0006310E">
            <w:pPr>
              <w:pStyle w:val="BodyText"/>
            </w:pPr>
            <w:r w:rsidRPr="0006310E">
              <w:t>This unit involves the skills and knowledge required to develop emergency management plans for response and recovery of rail networks.</w:t>
            </w:r>
          </w:p>
          <w:p w:rsidR="00000000" w:rsidRPr="0006310E" w:rsidP="0006310E">
            <w:pPr>
              <w:pStyle w:val="BodyText"/>
            </w:pPr>
            <w:r w:rsidRPr="0006310E">
              <w:t>It includes identifying factors that contribute to degraded rail operations, and developing, implementing, mo</w:t>
            </w:r>
            <w:r w:rsidRPr="0006310E">
              <w:t xml:space="preserve">nitoring and evaluating emergency response and recovery strategies, in accordance with regulatory and organisational requirements. </w:t>
            </w:r>
          </w:p>
          <w:p w:rsidR="00000000" w:rsidRPr="0006310E" w:rsidP="0006310E">
            <w:pPr>
              <w:pStyle w:val="BodyText"/>
            </w:pPr>
            <w:r w:rsidRPr="0006310E">
              <w:t>This unit can be applied to freight, heavy haul or metropolitan and regional passenger rail systems.</w:t>
            </w:r>
          </w:p>
          <w:p w:rsidR="00000000" w:rsidRPr="0006310E" w:rsidP="0006310E">
            <w:pPr>
              <w:pStyle w:val="BodyText"/>
            </w:pPr>
            <w:r w:rsidRPr="0006310E">
              <w:t>No licensing, legislati</w:t>
            </w:r>
            <w:r w:rsidRPr="0006310E">
              <w:t>ve or certification requirements apply to this unit at the time of publication.</w:t>
            </w:r>
          </w:p>
        </w:tc>
      </w:tr>
    </w:tbl>
    <w:p w:rsidR="00000000" w:rsidRPr="0006310E" w:rsidP="0006310E">
      <w:pPr>
        <w:pStyle w:val="BodyText"/>
      </w:pPr>
    </w:p>
    <w:p w:rsidR="00000000" w:rsidRPr="0006310E" w:rsidP="0006310E">
      <w:pPr>
        <w:pStyle w:val="AllowPageBreak"/>
      </w:pPr>
    </w:p>
    <w:p w:rsidR="00000000" w:rsidRPr="0006310E" w:rsidP="0006310E">
      <w:pPr>
        <w:pStyle w:val="Heading1"/>
      </w:pPr>
      <w:bookmarkStart w:id="3" w:name="O_752439"/>
      <w:bookmarkEnd w:id="3"/>
      <w:r w:rsidRPr="0006310E">
        <w:t>Pre-requisite Unit</w:t>
      </w:r>
    </w:p>
    <w:p w:rsidR="0037761F" w:rsidP="0037761F">
      <w:pPr>
        <w:pStyle w:val="BodyText"/>
      </w:pPr>
      <w:r w:rsidRPr="0006310E">
        <w:t>Not applicable.</w:t>
      </w:r>
    </w:p>
    <w:p w:rsidR="00000000" w:rsidRPr="0006310E" w:rsidP="0006310E">
      <w:pPr>
        <w:pStyle w:val="Heading1"/>
      </w:pPr>
      <w:bookmarkStart w:id="4" w:name="O_752440"/>
      <w:bookmarkEnd w:id="4"/>
      <w:r w:rsidRPr="0006310E">
        <w:t>Competency Field</w:t>
      </w:r>
    </w:p>
    <w:p w:rsidR="0037761F" w:rsidP="0037761F">
      <w:pPr>
        <w:pStyle w:val="BodyText"/>
      </w:pPr>
      <w:r w:rsidRPr="0006310E">
        <w:t>F – Safety Management</w:t>
      </w:r>
    </w:p>
    <w:p w:rsidR="00000000" w:rsidRPr="0006310E" w:rsidP="0006310E">
      <w:pPr>
        <w:pStyle w:val="Heading1"/>
      </w:pPr>
      <w:bookmarkStart w:id="5" w:name="O_752441"/>
      <w:bookmarkEnd w:id="5"/>
      <w:r w:rsidRPr="0006310E">
        <w:t>Unit Sector</w:t>
      </w:r>
    </w:p>
    <w:p w:rsidR="0037761F" w:rsidP="0037761F">
      <w:pPr>
        <w:pStyle w:val="BodyText"/>
      </w:pPr>
      <w:r w:rsidRPr="0006310E">
        <w:t>Not applicable.</w:t>
      </w:r>
    </w:p>
    <w:p w:rsidR="00000000" w:rsidRPr="0006310E" w:rsidP="0006310E">
      <w:pPr>
        <w:pStyle w:val="Heading1"/>
      </w:pPr>
      <w:bookmarkStart w:id="6" w:name="O_752442"/>
      <w:bookmarkEnd w:id="6"/>
      <w:r w:rsidRPr="0006310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Performance criteria describe the performance needed to demonstrate achievement of the element.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0E" w:rsidP="0006310E">
            <w:pPr>
              <w:pStyle w:val="BodyText"/>
            </w:pPr>
            <w:r w:rsidRPr="0006310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rPr>
                <w:rStyle w:val="SpecialBold"/>
              </w:rPr>
              <w:t xml:space="preserve">Identify factors that </w:t>
            </w:r>
            <w:r w:rsidRPr="0006310E">
              <w:rPr>
                <w:rStyle w:val="SpecialBold"/>
              </w:rPr>
              <w:t>contribute to degraded rail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Types of rolli</w:t>
            </w:r>
            <w:r w:rsidRPr="0006310E">
              <w:t>ng stock and typical failures are identified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Track and trackside equipment failures are identified and explained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Operational factors that contribute to degraded rail operations are identified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Control or safety critical system failures that contribute to degraded rail operations are identified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External occurrences that contribute to degraded rail operations are identified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Power supply systems and problems that contribute to degraded rail operations are identified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0E" w:rsidP="0006310E">
            <w:pPr>
              <w:pStyle w:val="BodyText"/>
            </w:pPr>
            <w:r w:rsidRPr="0006310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rPr>
                <w:rStyle w:val="SpecialBold"/>
              </w:rPr>
              <w:t>Develop emergency response and recovery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Risk assessments are included in developing emergency response and recovery strategies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Policy and procedures are developed to implement emergency response and recovery strategies in accordance with organisational and regulatory requirements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 xml:space="preserve">Emergency response and recovery strategies are planned with internal and external stakeholders </w:t>
            </w:r>
            <w:r w:rsidRPr="0006310E">
              <w:t>to ensure compliance with organisational and regulatory standards and requirements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Emergency response and recovery plans are disseminated to appropriate managers and to regulators as required, for approval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 xml:space="preserve">Emergency response and recovery plans are amended in response to comments received from managers and regulators, as required 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Emergency response and recovery procedures are documented and communicated to appropriate personnel in accordance with orga</w:t>
            </w:r>
            <w:r w:rsidRPr="0006310E">
              <w:t>nisational requirements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0E" w:rsidP="0006310E">
            <w:pPr>
              <w:pStyle w:val="BodyText"/>
            </w:pPr>
            <w:r w:rsidRPr="0006310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rPr>
                <w:rStyle w:val="SpecialBold"/>
              </w:rPr>
              <w:t>Implement emergency response and recovery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Emergency response and recovery strategies are implemented in accordance with organisational and regulatory requirements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Effective induction and supervision are provided to support individuals in meeting their organisational and regulatory responsibilities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0E" w:rsidP="0006310E">
            <w:pPr>
              <w:pStyle w:val="BodyText"/>
            </w:pPr>
            <w:r w:rsidRPr="0006310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rPr>
                <w:rStyle w:val="SpecialBold"/>
              </w:rPr>
              <w:t>Monitor, adjust and report emergency response and recovery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 xml:space="preserve">Emergency response and recovery strategies </w:t>
            </w:r>
            <w:r w:rsidRPr="0006310E">
              <w:t>are monitored and deficiencies are identified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Identified deficiencies are assessed against organisational standards and prioritised for action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Recommendations for improvements to meet organisational and regulatory standards are developed and submitted to designated persons/groups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 xml:space="preserve">Agreed improvements and alterations to emergency response and recovery strategies, policies and procedures are </w:t>
            </w:r>
            <w:r w:rsidRPr="0006310E">
              <w:t>implemented in accordance with organisational and regulatory requirements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Individuals/groups are informed of improvements and alterations to emergency response and recovery strategies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Systems, records and reporting procedures are maintained in accordance with organisational and regulatory requirements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0E" w:rsidP="0006310E">
            <w:pPr>
              <w:pStyle w:val="BodyText"/>
            </w:pPr>
            <w:r w:rsidRPr="0006310E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rPr>
                <w:rStyle w:val="SpecialBold"/>
              </w:rPr>
              <w:t>Evaluate emergency response and recovery strategies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Effectiveness of emergency response and recovery strategies and related polici</w:t>
            </w:r>
            <w:r w:rsidRPr="0006310E">
              <w:t>es, procedures and programs is assessed in accordance with organisational and regulatory requirements</w:t>
            </w:r>
          </w:p>
        </w:tc>
      </w:tr>
      <w:tr w:rsidTr="0037761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10E">
            <w:pPr>
              <w:pStyle w:val="BodyText"/>
              <w:rPr>
                <w:lang w:val="en-NZ"/>
              </w:rPr>
            </w:pPr>
            <w:r w:rsidRPr="0006310E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0E" w:rsidP="0006310E">
            <w:pPr>
              <w:pStyle w:val="BodyText"/>
            </w:pPr>
            <w:r w:rsidRPr="0006310E">
              <w:t>Improvements are identified, developed and implemented to ensure more effective achievement of emergency response and recovery strategies</w:t>
            </w:r>
          </w:p>
        </w:tc>
      </w:tr>
    </w:tbl>
    <w:p w:rsidR="0037761F" w:rsidP="0006310E">
      <w:pPr>
        <w:pStyle w:val="BodyText"/>
      </w:pPr>
    </w:p>
    <w:p w:rsidR="0037761F" w:rsidP="0006310E">
      <w:pPr>
        <w:pStyle w:val="BodyText"/>
      </w:pPr>
    </w:p>
    <w:p w:rsidR="00000000" w:rsidRPr="0006310E" w:rsidP="0006310E">
      <w:pPr>
        <w:pStyle w:val="Heading1"/>
      </w:pPr>
      <w:bookmarkStart w:id="7" w:name="O_752443"/>
      <w:bookmarkEnd w:id="7"/>
      <w:r w:rsidRPr="0006310E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63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10E" w:rsidP="0006310E">
            <w:pPr>
              <w:pStyle w:val="BodyText"/>
            </w:pPr>
            <w:r w:rsidRPr="0006310E">
              <w:t>Foundation skills essential to performance are explicit in the performance criteria of this unit of competency.</w:t>
            </w:r>
          </w:p>
        </w:tc>
      </w:tr>
    </w:tbl>
    <w:p w:rsidR="0037761F" w:rsidP="0006310E">
      <w:pPr>
        <w:pStyle w:val="BodyText"/>
      </w:pPr>
    </w:p>
    <w:p w:rsidR="0037761F" w:rsidP="0006310E">
      <w:pPr>
        <w:pStyle w:val="BodyText"/>
      </w:pPr>
    </w:p>
    <w:p w:rsidR="00000000" w:rsidRPr="0006310E" w:rsidP="0006310E">
      <w:pPr>
        <w:pStyle w:val="Heading1"/>
      </w:pPr>
      <w:bookmarkStart w:id="8" w:name="O_752444"/>
      <w:bookmarkEnd w:id="8"/>
      <w:r w:rsidRPr="0006310E">
        <w:t>Range of Conditions</w:t>
      </w:r>
    </w:p>
    <w:p w:rsidR="00000000" w:rsidRPr="0006310E" w:rsidP="0037761F">
      <w:pPr>
        <w:pStyle w:val="BodyText"/>
      </w:pPr>
      <w:r w:rsidRPr="0006310E">
        <w:t>Range is restricted to essential operating conditions and any other variables essential to the work environment.</w:t>
      </w:r>
    </w:p>
    <w:p w:rsidR="0037761F" w:rsidP="0037761F">
      <w:pPr>
        <w:pStyle w:val="BodyText"/>
      </w:pPr>
      <w:r w:rsidRPr="0006310E">
        <w:t>Non-essential conditions can be found in the Companion Volume Implementation Guide.</w:t>
      </w:r>
    </w:p>
    <w:p w:rsidR="00000000" w:rsidRPr="0006310E" w:rsidP="0006310E">
      <w:pPr>
        <w:pStyle w:val="Heading1"/>
      </w:pPr>
      <w:bookmarkStart w:id="9" w:name="O_752445"/>
      <w:bookmarkEnd w:id="9"/>
      <w:r w:rsidRPr="0006310E">
        <w:t>Unit Mapping Information</w:t>
      </w:r>
    </w:p>
    <w:p w:rsidR="0037761F" w:rsidP="0037761F">
      <w:pPr>
        <w:pStyle w:val="BodyText"/>
      </w:pPr>
      <w:r w:rsidRPr="0006310E">
        <w:t>This unit replac</w:t>
      </w:r>
      <w:r w:rsidRPr="0006310E">
        <w:t>es and is equivalent to TLIF5024A Develop plans for emergency response and recovery of rail networks.</w:t>
      </w:r>
    </w:p>
    <w:p w:rsidR="00000000" w:rsidRPr="0006310E" w:rsidP="0006310E">
      <w:pPr>
        <w:pStyle w:val="Heading1"/>
      </w:pPr>
      <w:bookmarkStart w:id="10" w:name="O_752452"/>
      <w:bookmarkEnd w:id="10"/>
      <w:r w:rsidRPr="0006310E">
        <w:t>Links</w:t>
      </w:r>
    </w:p>
    <w:p w:rsidR="00000000" w:rsidRPr="0006310E" w:rsidP="0037761F">
      <w:pPr>
        <w:pStyle w:val="BodyText"/>
      </w:pPr>
      <w:r w:rsidRPr="000631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0684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6310E" w:rsidP="0006310E"/>
    <w:sectPr w:rsidSect="000631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10E" w:rsidRPr="0037761F" w:rsidP="003776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1F" w:rsidP="00063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761F" w:rsidP="00063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7761F" w:rsidP="00063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10E" w:rsidRPr="0037761F" w:rsidP="003776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61F" w:rsidRPr="002D2AF8" w:rsidP="00063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TLIF5024 Develop plans for emergency response and recovery of rail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7761F" w:rsidP="00063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10E"/>
  </w:style>
  <w:style w:type="character" w:customStyle="1" w:styleId="Heading1Char">
    <w:name w:val="Heading 1 Char"/>
    <w:basedOn w:val="DefaultParagraphFont"/>
    <w:link w:val="Heading1"/>
    <w:rsid w:val="00063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1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310E"/>
    <w:rPr>
      <w:b/>
      <w:spacing w:val="0"/>
    </w:rPr>
  </w:style>
  <w:style w:type="paragraph" w:customStyle="1" w:styleId="SuperHeading">
    <w:name w:val="SuperHeading"/>
    <w:basedOn w:val="Normal"/>
    <w:rsid w:val="00063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3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1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31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3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3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31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3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310E"/>
    <w:rPr>
      <w:i/>
    </w:rPr>
  </w:style>
  <w:style w:type="paragraph" w:styleId="Caption">
    <w:name w:val="caption"/>
    <w:basedOn w:val="BodyText"/>
    <w:next w:val="Normal"/>
    <w:qFormat/>
    <w:rsid w:val="00063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10E"/>
  </w:style>
  <w:style w:type="paragraph" w:styleId="TableofFigures">
    <w:name w:val="table of figures"/>
    <w:basedOn w:val="Normal"/>
    <w:next w:val="Normal"/>
    <w:semiHidden/>
    <w:rsid w:val="00063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1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310E"/>
    <w:rPr>
      <w:rFonts w:ascii="Wingdings" w:hAnsi="Wingdings"/>
    </w:rPr>
  </w:style>
  <w:style w:type="paragraph" w:customStyle="1" w:styleId="TableHeading">
    <w:name w:val="Table Heading"/>
    <w:basedOn w:val="HeadingBase"/>
    <w:rsid w:val="00063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10E"/>
    <w:rPr>
      <w:color w:val="0033CC"/>
      <w:u w:val="none"/>
    </w:rPr>
  </w:style>
  <w:style w:type="paragraph" w:customStyle="1" w:styleId="BodyTextRight">
    <w:name w:val="Body Text Right"/>
    <w:basedOn w:val="BodyText"/>
    <w:rsid w:val="00063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1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10E"/>
    <w:rPr>
      <w:sz w:val="32"/>
    </w:rPr>
  </w:style>
  <w:style w:type="paragraph" w:customStyle="1" w:styleId="HeadingProcedure">
    <w:name w:val="Heading Procedure"/>
    <w:basedOn w:val="HeadingBase"/>
    <w:next w:val="Normal"/>
    <w:rsid w:val="00063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10E"/>
    <w:pPr>
      <w:spacing w:before="60" w:after="60"/>
    </w:pPr>
  </w:style>
  <w:style w:type="paragraph" w:styleId="ListContinue">
    <w:name w:val="List Continue"/>
    <w:basedOn w:val="List"/>
    <w:rsid w:val="0006310E"/>
    <w:pPr>
      <w:ind w:firstLine="0"/>
    </w:pPr>
  </w:style>
  <w:style w:type="paragraph" w:customStyle="1" w:styleId="ListNote">
    <w:name w:val="List Note"/>
    <w:basedOn w:val="List"/>
    <w:rsid w:val="00063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10E"/>
    <w:rPr>
      <w:rFonts w:ascii="Courier New" w:hAnsi="Courier New"/>
    </w:rPr>
  </w:style>
  <w:style w:type="paragraph" w:customStyle="1" w:styleId="NoteBullet">
    <w:name w:val="Note Bullet"/>
    <w:basedOn w:val="Note"/>
    <w:rsid w:val="00063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1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3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10E"/>
    <w:rPr>
      <w:b/>
      <w:smallCaps/>
    </w:rPr>
  </w:style>
  <w:style w:type="paragraph" w:customStyle="1" w:styleId="TableListNumber">
    <w:name w:val="Table List Number"/>
    <w:basedOn w:val="ListNumber"/>
    <w:rsid w:val="00063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10E"/>
    <w:pPr>
      <w:numPr>
        <w:numId w:val="7"/>
      </w:numPr>
    </w:pPr>
  </w:style>
  <w:style w:type="paragraph" w:customStyle="1" w:styleId="ListAlpha2">
    <w:name w:val="List Alpha 2"/>
    <w:basedOn w:val="List2"/>
    <w:rsid w:val="0006310E"/>
    <w:pPr>
      <w:numPr>
        <w:numId w:val="6"/>
      </w:numPr>
    </w:pPr>
  </w:style>
  <w:style w:type="paragraph" w:styleId="List2">
    <w:name w:val="List 2"/>
    <w:basedOn w:val="BodyText"/>
    <w:rsid w:val="00063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1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1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310E"/>
    <w:pPr>
      <w:numPr>
        <w:numId w:val="2"/>
      </w:numPr>
    </w:pPr>
  </w:style>
  <w:style w:type="paragraph" w:styleId="ListContinue2">
    <w:name w:val="List Continue 2"/>
    <w:basedOn w:val="List2"/>
    <w:rsid w:val="0006310E"/>
    <w:pPr>
      <w:ind w:firstLine="0"/>
    </w:pPr>
  </w:style>
  <w:style w:type="paragraph" w:styleId="ListContinue3">
    <w:name w:val="List Continue 3"/>
    <w:basedOn w:val="List3"/>
    <w:rsid w:val="0006310E"/>
    <w:pPr>
      <w:ind w:left="1021" w:firstLine="0"/>
    </w:pPr>
  </w:style>
  <w:style w:type="paragraph" w:styleId="ListContinue4">
    <w:name w:val="List Continue 4"/>
    <w:basedOn w:val="List4"/>
    <w:rsid w:val="0006310E"/>
    <w:pPr>
      <w:ind w:firstLine="0"/>
    </w:pPr>
  </w:style>
  <w:style w:type="paragraph" w:styleId="ListContinue5">
    <w:name w:val="List Continue 5"/>
    <w:basedOn w:val="List5"/>
    <w:rsid w:val="0006310E"/>
    <w:pPr>
      <w:ind w:firstLine="0"/>
    </w:pPr>
  </w:style>
  <w:style w:type="paragraph" w:styleId="ListNumber3">
    <w:name w:val="List Number 3"/>
    <w:basedOn w:val="List3"/>
    <w:rsid w:val="0006310E"/>
    <w:pPr>
      <w:numPr>
        <w:numId w:val="3"/>
      </w:numPr>
    </w:pPr>
  </w:style>
  <w:style w:type="paragraph" w:styleId="ListNumber4">
    <w:name w:val="List Number 4"/>
    <w:basedOn w:val="List4"/>
    <w:rsid w:val="0006310E"/>
    <w:pPr>
      <w:numPr>
        <w:numId w:val="4"/>
      </w:numPr>
    </w:pPr>
  </w:style>
  <w:style w:type="paragraph" w:styleId="ListNumber5">
    <w:name w:val="List Number 5"/>
    <w:basedOn w:val="List5"/>
    <w:rsid w:val="0006310E"/>
    <w:pPr>
      <w:numPr>
        <w:numId w:val="5"/>
      </w:numPr>
    </w:pPr>
  </w:style>
  <w:style w:type="paragraph" w:styleId="BlockText">
    <w:name w:val="Block Text"/>
    <w:basedOn w:val="Normal"/>
    <w:rsid w:val="00063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10E"/>
    <w:rPr>
      <w:sz w:val="16"/>
      <w:vertAlign w:val="superscript"/>
    </w:rPr>
  </w:style>
  <w:style w:type="character" w:customStyle="1" w:styleId="Symbols">
    <w:name w:val="Symbols"/>
    <w:basedOn w:val="DefaultParagraphFont"/>
    <w:rsid w:val="0006310E"/>
    <w:rPr>
      <w:rFonts w:ascii="Symbol" w:hAnsi="Symbol"/>
    </w:rPr>
  </w:style>
  <w:style w:type="character" w:customStyle="1" w:styleId="MenuOptions">
    <w:name w:val="Menu Options"/>
    <w:basedOn w:val="DefaultParagraphFont"/>
    <w:rsid w:val="00063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10E"/>
    <w:rPr>
      <w:b/>
    </w:rPr>
  </w:style>
  <w:style w:type="character" w:customStyle="1" w:styleId="Underlined">
    <w:name w:val="Underlined"/>
    <w:basedOn w:val="DefaultParagraphFont"/>
    <w:rsid w:val="0006310E"/>
    <w:rPr>
      <w:u w:val="single"/>
    </w:rPr>
  </w:style>
  <w:style w:type="paragraph" w:customStyle="1" w:styleId="TableBodyTextRight">
    <w:name w:val="Table Body Text Right"/>
    <w:basedOn w:val="TableBodyText"/>
    <w:rsid w:val="00063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10E"/>
    <w:rPr>
      <w:sz w:val="18"/>
    </w:rPr>
  </w:style>
  <w:style w:type="paragraph" w:customStyle="1" w:styleId="BodySmallRight">
    <w:name w:val="Body Small Right"/>
    <w:basedOn w:val="BodyTextRight"/>
    <w:rsid w:val="0006310E"/>
    <w:rPr>
      <w:sz w:val="18"/>
      <w:szCs w:val="18"/>
    </w:rPr>
  </w:style>
  <w:style w:type="paragraph" w:customStyle="1" w:styleId="MarginEdition">
    <w:name w:val="Margin Edition"/>
    <w:basedOn w:val="MarginNote"/>
    <w:rsid w:val="00063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10E"/>
    <w:rPr>
      <w:sz w:val="2"/>
      <w:szCs w:val="2"/>
    </w:rPr>
  </w:style>
  <w:style w:type="character" w:customStyle="1" w:styleId="Small">
    <w:name w:val="Small"/>
    <w:basedOn w:val="DefaultParagraphFont"/>
    <w:rsid w:val="0006310E"/>
    <w:rPr>
      <w:sz w:val="16"/>
    </w:rPr>
  </w:style>
  <w:style w:type="paragraph" w:customStyle="1" w:styleId="WideTable">
    <w:name w:val="Wide Table"/>
    <w:basedOn w:val="Normal"/>
    <w:rsid w:val="00063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10E"/>
  </w:style>
  <w:style w:type="paragraph" w:styleId="Quote">
    <w:name w:val="Quote"/>
    <w:basedOn w:val="Heading1"/>
    <w:link w:val="QuoteChar"/>
    <w:qFormat/>
    <w:rsid w:val="00063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10E"/>
    <w:pPr>
      <w:pageBreakBefore/>
    </w:pPr>
  </w:style>
  <w:style w:type="paragraph" w:customStyle="1" w:styleId="Border">
    <w:name w:val="Border"/>
    <w:basedOn w:val="Normal"/>
    <w:qFormat/>
    <w:rsid w:val="00063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10E"/>
    <w:rPr>
      <w:u w:val="single"/>
    </w:rPr>
  </w:style>
  <w:style w:type="character" w:customStyle="1" w:styleId="BoldandItalics">
    <w:name w:val="Bold and Italics"/>
    <w:qFormat/>
    <w:rsid w:val="0006310E"/>
    <w:rPr>
      <w:b/>
      <w:i/>
      <w:u w:val="none"/>
    </w:rPr>
  </w:style>
  <w:style w:type="paragraph" w:styleId="BalloonText">
    <w:name w:val="Balloon Text"/>
    <w:basedOn w:val="Normal"/>
    <w:link w:val="BalloonTextChar"/>
    <w:rsid w:val="00063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10E"/>
    <w:pPr>
      <w:spacing w:before="0" w:after="0"/>
    </w:pPr>
  </w:style>
  <w:style w:type="paragraph" w:customStyle="1" w:styleId="BodyTextBold">
    <w:name w:val="Body Text Bold"/>
    <w:basedOn w:val="BodyText"/>
    <w:qFormat/>
    <w:rsid w:val="0006310E"/>
    <w:rPr>
      <w:b/>
    </w:rPr>
  </w:style>
  <w:style w:type="character" w:styleId="Hyperlink">
    <w:name w:val="Hyperlink"/>
    <w:basedOn w:val="DefaultParagraphFont"/>
    <w:uiPriority w:val="99"/>
    <w:unhideWhenUsed/>
    <w:rsid w:val="003776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658</Words>
  <Characters>4381</Characters>
  <Application>Microsoft Office Word</Application>
  <DocSecurity>0</DocSecurity>
  <Lines>190</Lines>
  <Paragraphs>98</Paragraphs>
  <ScaleCrop>false</ScaleCrop>
  <Company>Author-it Software Corporation Ltd.</Company>
  <LinksUpToDate>false</LinksUpToDate>
  <CharactersWithSpaces>4941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TLIF5024 Develop plans for emergency response and recovery of rail networks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2024-07-12T07:41:00Z</dcterms:created>
  <dcterms:modified xsi:type="dcterms:W3CDTF">2024-07-12T07:41:00Z</dcterms:modified>
</cp:coreProperties>
</file>