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392" w:rsidP="00D81392">
      <w:pPr>
        <w:pStyle w:val="Title"/>
      </w:pPr>
      <w:r>
        <w:fldChar w:fldCharType="begin"/>
      </w:r>
      <w:r>
        <w:instrText xml:space="preserve"> TITLE   \* MERGEFORMAT </w:instrText>
      </w:r>
      <w:r>
        <w:fldChar w:fldCharType="separate"/>
      </w:r>
      <w:r>
        <w:t>TLIF5024 Develop plans for emergency response and recovery of rail networks</w:t>
      </w:r>
      <w:r>
        <w:fldChar w:fldCharType="end"/>
      </w:r>
    </w:p>
    <w:p w:rsidR="00D81392" w:rsidP="00D81392">
      <w:pPr>
        <w:pStyle w:val="Version"/>
        <w:sectPr w:rsidSect="00F95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4BB" w:rsidP="00F954BB">
      <w:pPr>
        <w:pStyle w:val="SuperHeading"/>
      </w:pPr>
      <w:r w:rsidRPr="00F954BB">
        <w:t>TLIF5024 Develop plans for emergency response and recovery of rail networks</w:t>
      </w:r>
    </w:p>
    <w:p w:rsidR="00000000" w:rsidRPr="00F954BB" w:rsidP="00F954BB">
      <w:pPr>
        <w:pStyle w:val="Heading1"/>
      </w:pPr>
      <w:bookmarkStart w:id="1" w:name="O_752437"/>
      <w:bookmarkEnd w:id="1"/>
      <w:r w:rsidRPr="00F954BB">
        <w:t>Modification History</w:t>
      </w:r>
    </w:p>
    <w:p w:rsidR="00D81392" w:rsidP="00D81392">
      <w:pPr>
        <w:pStyle w:val="BodyText"/>
      </w:pPr>
      <w:r w:rsidRPr="00F954BB">
        <w:t>Release 1. This is the first release of this unit of competency in the TLI Transport and Logistics Training Package.</w:t>
      </w:r>
    </w:p>
    <w:p w:rsidR="00000000" w:rsidRPr="00F954BB" w:rsidP="00F954BB">
      <w:pPr>
        <w:pStyle w:val="Heading1"/>
      </w:pPr>
      <w:bookmarkStart w:id="2" w:name="O_752438"/>
      <w:bookmarkEnd w:id="2"/>
      <w:r w:rsidRPr="00F954BB">
        <w:t>Application</w:t>
      </w:r>
    </w:p>
    <w:tbl>
      <w:tblPr>
        <w:tblW w:w="0" w:type="auto"/>
        <w:tblCellMar>
          <w:left w:w="62" w:type="dxa"/>
          <w:right w:w="62" w:type="dxa"/>
        </w:tblCellMar>
        <w:tblLook w:val="0000"/>
      </w:tblPr>
      <w:tblGrid>
        <w:gridCol w:w="9196"/>
      </w:tblGrid>
      <w:tr w:rsidTr="00D813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t>This unit involves the skills and knowledge required to develop emergency management plans for response and recovery of rail networks.</w:t>
            </w:r>
          </w:p>
          <w:p w:rsidR="00000000" w:rsidRPr="00F954BB" w:rsidP="00F954BB">
            <w:pPr>
              <w:pStyle w:val="BodyText"/>
            </w:pPr>
            <w:r w:rsidRPr="00F954BB">
              <w:t>It includes identifying factors that contribute to degraded rail operations, and developing, implementing, mo</w:t>
            </w:r>
            <w:r w:rsidRPr="00F954BB">
              <w:t xml:space="preserve">nitoring and evaluating emergency response and recovery strategies, in accordance with regulatory and organisational requirements. </w:t>
            </w:r>
          </w:p>
          <w:p w:rsidR="00000000" w:rsidRPr="00F954BB" w:rsidP="00F954BB">
            <w:pPr>
              <w:pStyle w:val="BodyText"/>
            </w:pPr>
            <w:r w:rsidRPr="00F954BB">
              <w:t>This unit can be applied to freight, heavy haul or metropolitan and regional passenger rail systems.</w:t>
            </w:r>
          </w:p>
          <w:p w:rsidR="00000000" w:rsidRPr="00F954BB" w:rsidP="00F954BB">
            <w:pPr>
              <w:pStyle w:val="BodyText"/>
            </w:pPr>
            <w:r w:rsidRPr="00F954BB">
              <w:t>No licensing, legislati</w:t>
            </w:r>
            <w:r w:rsidRPr="00F954BB">
              <w:t>ve or certification requirements apply to this unit at the time of publication.</w:t>
            </w:r>
          </w:p>
        </w:tc>
      </w:tr>
    </w:tbl>
    <w:p w:rsidR="00000000" w:rsidRPr="00F954BB" w:rsidP="00F954BB">
      <w:pPr>
        <w:pStyle w:val="BodyText"/>
      </w:pPr>
    </w:p>
    <w:p w:rsidR="00000000" w:rsidRPr="00F954BB" w:rsidP="00F954BB">
      <w:pPr>
        <w:pStyle w:val="AllowPageBreak"/>
      </w:pPr>
    </w:p>
    <w:p w:rsidR="00000000" w:rsidRPr="00F954BB" w:rsidP="00F954BB">
      <w:pPr>
        <w:pStyle w:val="Heading1"/>
      </w:pPr>
      <w:bookmarkStart w:id="3" w:name="O_752439"/>
      <w:bookmarkEnd w:id="3"/>
      <w:r w:rsidRPr="00F954BB">
        <w:t>Pre-requisite Unit</w:t>
      </w:r>
    </w:p>
    <w:p w:rsidR="00D81392" w:rsidP="00D81392">
      <w:pPr>
        <w:pStyle w:val="BodyText"/>
      </w:pPr>
      <w:r w:rsidRPr="00F954BB">
        <w:t>Not applicable.</w:t>
      </w:r>
    </w:p>
    <w:p w:rsidR="00000000" w:rsidRPr="00F954BB" w:rsidP="00F954BB">
      <w:pPr>
        <w:pStyle w:val="Heading1"/>
      </w:pPr>
      <w:bookmarkStart w:id="4" w:name="O_752440"/>
      <w:bookmarkEnd w:id="4"/>
      <w:r w:rsidRPr="00F954BB">
        <w:t>Competency Field</w:t>
      </w:r>
    </w:p>
    <w:p w:rsidR="00D81392" w:rsidP="00D81392">
      <w:pPr>
        <w:pStyle w:val="BodyText"/>
      </w:pPr>
      <w:r w:rsidRPr="00F954BB">
        <w:t>F – Safety Management</w:t>
      </w:r>
    </w:p>
    <w:p w:rsidR="00000000" w:rsidRPr="00F954BB" w:rsidP="00F954BB">
      <w:pPr>
        <w:pStyle w:val="Heading1"/>
      </w:pPr>
      <w:bookmarkStart w:id="5" w:name="O_752441"/>
      <w:bookmarkEnd w:id="5"/>
      <w:r w:rsidRPr="00F954BB">
        <w:t>Unit Sector</w:t>
      </w:r>
    </w:p>
    <w:p w:rsidR="00D81392" w:rsidP="00D81392">
      <w:pPr>
        <w:pStyle w:val="BodyText"/>
      </w:pPr>
      <w:r w:rsidRPr="00F954BB">
        <w:t>Not applicable.</w:t>
      </w:r>
    </w:p>
    <w:p w:rsidR="00000000" w:rsidRPr="00F954BB" w:rsidP="00F954BB">
      <w:pPr>
        <w:pStyle w:val="Heading1"/>
      </w:pPr>
      <w:bookmarkStart w:id="6" w:name="O_752442"/>
      <w:bookmarkEnd w:id="6"/>
      <w:r w:rsidRPr="00F954BB">
        <w:t>Elements and Performance Criteria</w:t>
      </w:r>
    </w:p>
    <w:tbl>
      <w:tblPr>
        <w:tblW w:w="0" w:type="auto"/>
        <w:tblCellMar>
          <w:left w:w="62" w:type="dxa"/>
          <w:right w:w="62" w:type="dxa"/>
        </w:tblCellMar>
        <w:tblLook w:val="0000"/>
      </w:tblPr>
      <w:tblGrid>
        <w:gridCol w:w="332"/>
        <w:gridCol w:w="1769"/>
        <w:gridCol w:w="552"/>
        <w:gridCol w:w="6543"/>
      </w:tblGrid>
      <w:tr w:rsidTr="00D813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Performance criteria describe the performance needed to demonstrate achievement of the element.</w:t>
            </w:r>
          </w:p>
        </w:tc>
      </w:tr>
      <w:tr w:rsidTr="00D81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rPr>
                <w:rStyle w:val="SpecialBold"/>
              </w:rPr>
              <w:t xml:space="preserve">Identify factors that </w:t>
            </w:r>
            <w:r w:rsidRPr="00F954BB">
              <w:rPr>
                <w:rStyle w:val="SpecialBold"/>
              </w:rPr>
              <w:t>contribute to degraded rail operations</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1.1</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Types of rolli</w:t>
            </w:r>
            <w:r w:rsidRPr="00F954BB">
              <w:t>ng stock and typical failures are identified</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1.2</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Track and trackside equipment failures are identified and explained</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1.3</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Operational factors that contribute to degraded rail operations are identified</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1.4</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Control or safety critical system failures that contribute to degraded rail operations are identified</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1.5</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External occurrences that contribute to degraded rail operations are identified</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1.6</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Power supply systems and problems that contribute to degraded rail operations are identified</w:t>
            </w:r>
          </w:p>
        </w:tc>
      </w:tr>
      <w:tr w:rsidTr="00D81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rPr>
                <w:rStyle w:val="SpecialBold"/>
              </w:rPr>
              <w:t>Develop emergency response and recovery strategies</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2.1</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Risk assessments are included in developing emergency response and recovery strategies</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2.2</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Policy and procedures are developed to implement emergency response and recovery strategies in accordance with organisational and regulatory requirements</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2.3</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 xml:space="preserve">Emergency response and recovery strategies are planned with internal and external stakeholders </w:t>
            </w:r>
            <w:r w:rsidRPr="00F954BB">
              <w:t>to ensure compliance with organisational and regulatory standards and requirements</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2.4</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Emergency response and recovery plans are disseminated to appropriate managers and to regulators as required, for approval</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2.5</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 xml:space="preserve">Emergency response and recovery plans are amended in response to comments received from managers and regulators, as required </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2.6</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Emergency response and recovery procedures are documented and communicated to appropriate personnel in accordance with orga</w:t>
            </w:r>
            <w:r w:rsidRPr="00F954BB">
              <w:t>nisational requirements</w:t>
            </w:r>
          </w:p>
        </w:tc>
      </w:tr>
      <w:tr w:rsidTr="00D81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rPr>
                <w:rStyle w:val="SpecialBold"/>
              </w:rPr>
              <w:t>Implement emergency response and recovery strategies</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3.1</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Emergency response and recovery strategies are implemented in accordance with organisational and regulatory requirements</w:t>
            </w:r>
          </w:p>
        </w:tc>
      </w:tr>
      <w:tr w:rsidTr="00D81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3.2</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Effective induction and supervision are provided to support individuals in meeting their organisational and regulatory responsibilities</w:t>
            </w:r>
          </w:p>
        </w:tc>
      </w:tr>
      <w:tr w:rsidTr="00D8139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rPr>
                <w:rStyle w:val="SpecialBold"/>
              </w:rPr>
              <w:t>Monitor, adjust and report emergency response and recovery strategies</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4.1</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 xml:space="preserve">Emergency response and recovery strategies </w:t>
            </w:r>
            <w:r w:rsidRPr="00F954BB">
              <w:t>are monitored and deficiencies are identified</w:t>
            </w:r>
          </w:p>
        </w:tc>
      </w:tr>
      <w:tr w:rsidTr="00D8139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4.2</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Identified deficiencies are assessed against organisational standards and prioritised for action</w:t>
            </w:r>
          </w:p>
        </w:tc>
      </w:tr>
      <w:tr w:rsidTr="00D8139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4.3</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Recommendations for improvements to meet organisational and regulatory standards are developed and submitted to designated persons/groups</w:t>
            </w:r>
          </w:p>
        </w:tc>
      </w:tr>
      <w:tr w:rsidTr="00D8139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4.4</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 xml:space="preserve">Agreed improvements and alterations to emergency response and recovery strategies, policies and procedures are </w:t>
            </w:r>
            <w:r w:rsidRPr="00F954BB">
              <w:t>implemented in accordance with organisational and regulatory requirements</w:t>
            </w:r>
          </w:p>
        </w:tc>
      </w:tr>
      <w:tr w:rsidTr="00D8139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4.5</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Individuals/groups are informed of improvements and alterations to emergency response and recovery strategies</w:t>
            </w:r>
          </w:p>
        </w:tc>
      </w:tr>
      <w:tr w:rsidTr="00D8139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4.6</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Systems, records and reporting procedures are maintained in accordance with organisational and regulatory requirements</w:t>
            </w:r>
          </w:p>
        </w:tc>
      </w:tr>
      <w:tr w:rsidTr="00D8139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rPr>
                <w:rStyle w:val="SpecialBold"/>
              </w:rPr>
              <w:t>Evaluate emergency response and recovery strategies</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5.1</w:t>
            </w: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Effectiveness of emergency response and recovery strategies and related polici</w:t>
            </w:r>
            <w:r w:rsidRPr="00F954BB">
              <w:t>es, procedures and programs is assessed in accordance with organisational and regulatory requirements</w:t>
            </w:r>
          </w:p>
        </w:tc>
      </w:tr>
      <w:tr w:rsidTr="00D8139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5.2</w:t>
            </w:r>
          </w:p>
        </w:tc>
        <w:tc>
          <w:tcPr>
            <w:tcW w:w="0" w:type="auto"/>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t>Improvements are identified, developed and implemented to ensure more effective achievement of emergency response and recovery strategies</w:t>
            </w:r>
          </w:p>
        </w:tc>
      </w:tr>
    </w:tbl>
    <w:p w:rsidR="00D81392" w:rsidP="00F954BB">
      <w:pPr>
        <w:pStyle w:val="BodyText"/>
      </w:pPr>
    </w:p>
    <w:p w:rsidR="00D81392" w:rsidP="00F954BB">
      <w:pPr>
        <w:pStyle w:val="BodyText"/>
      </w:pPr>
    </w:p>
    <w:p w:rsidR="00000000" w:rsidRPr="00F954BB" w:rsidP="00F954BB">
      <w:pPr>
        <w:pStyle w:val="Heading1"/>
      </w:pPr>
      <w:bookmarkStart w:id="7" w:name="O_752443"/>
      <w:bookmarkEnd w:id="7"/>
      <w:r w:rsidRPr="00F954BB">
        <w:t>Foundation Skills</w:t>
      </w:r>
    </w:p>
    <w:tbl>
      <w:tblPr>
        <w:tblW w:w="9498" w:type="dxa"/>
        <w:tblLayout w:type="fixed"/>
        <w:tblCellMar>
          <w:left w:w="62" w:type="dxa"/>
          <w:right w:w="62" w:type="dxa"/>
        </w:tblCellMar>
        <w:tblLook w:val="0000"/>
      </w:tblPr>
      <w:tblGrid>
        <w:gridCol w:w="9498"/>
      </w:tblGrid>
      <w:tr w:rsidTr="00F954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t>Foundation skills essential to performance are explicit in the performance criteria of this unit of competency.</w:t>
            </w:r>
          </w:p>
        </w:tc>
      </w:tr>
    </w:tbl>
    <w:p w:rsidR="00D81392" w:rsidP="00F954BB">
      <w:pPr>
        <w:pStyle w:val="BodyText"/>
      </w:pPr>
    </w:p>
    <w:p w:rsidR="00D81392" w:rsidP="00F954BB">
      <w:pPr>
        <w:pStyle w:val="BodyText"/>
      </w:pPr>
    </w:p>
    <w:p w:rsidR="00000000" w:rsidRPr="00F954BB" w:rsidP="00F954BB">
      <w:pPr>
        <w:pStyle w:val="Heading1"/>
      </w:pPr>
      <w:bookmarkStart w:id="8" w:name="O_752444"/>
      <w:bookmarkEnd w:id="8"/>
      <w:r w:rsidRPr="00F954BB">
        <w:t>Range of Conditions</w:t>
      </w:r>
    </w:p>
    <w:p w:rsidR="00000000" w:rsidRPr="00F954BB" w:rsidP="00D81392">
      <w:pPr>
        <w:pStyle w:val="BodyText"/>
      </w:pPr>
      <w:r w:rsidRPr="00F954BB">
        <w:t>Range is restricted to essential operating conditions and any other variables essential to the work environment.</w:t>
      </w:r>
    </w:p>
    <w:p w:rsidR="00D81392" w:rsidP="00D81392">
      <w:pPr>
        <w:pStyle w:val="BodyText"/>
      </w:pPr>
      <w:r w:rsidRPr="00F954BB">
        <w:t>Non-essential conditions can be found in the Companion Volume Implementation Guide.</w:t>
      </w:r>
    </w:p>
    <w:p w:rsidR="00000000" w:rsidRPr="00F954BB" w:rsidP="00F954BB">
      <w:pPr>
        <w:pStyle w:val="Heading1"/>
      </w:pPr>
      <w:bookmarkStart w:id="9" w:name="O_752445"/>
      <w:bookmarkEnd w:id="9"/>
      <w:r w:rsidRPr="00F954BB">
        <w:t>Unit Mapping Information</w:t>
      </w:r>
    </w:p>
    <w:p w:rsidR="00D81392" w:rsidP="00D81392">
      <w:pPr>
        <w:pStyle w:val="BodyText"/>
      </w:pPr>
      <w:r w:rsidRPr="00F954BB">
        <w:t>This unit replac</w:t>
      </w:r>
      <w:r w:rsidRPr="00F954BB">
        <w:t>es and is equivalent to TLIF5024A Develop plans for emergency response and recovery of rail networks.</w:t>
      </w:r>
    </w:p>
    <w:p w:rsidR="00000000" w:rsidRPr="00F954BB" w:rsidP="00F954BB">
      <w:pPr>
        <w:pStyle w:val="Heading1"/>
      </w:pPr>
      <w:bookmarkStart w:id="10" w:name="O_752452"/>
      <w:bookmarkEnd w:id="10"/>
      <w:r w:rsidRPr="00F954BB">
        <w:t>Links</w:t>
      </w:r>
    </w:p>
    <w:p w:rsidR="00000000" w:rsidRPr="00F954BB" w:rsidP="00D81392">
      <w:pPr>
        <w:pStyle w:val="BodyText"/>
      </w:pPr>
      <w:r w:rsidRPr="00F954B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D7A3D">
        <w:rPr>
          <w:rStyle w:val="Hyperlink"/>
        </w:rPr>
        <w:t>https://vetnet.gov.au/Pages/TrainingDocs.aspx?q=df441c6e-213d-43e3-874c-0b3f7036d851</w:t>
      </w:r>
      <w:r>
        <w:fldChar w:fldCharType="end"/>
      </w:r>
    </w:p>
    <w:p w:rsidR="00000000" w:rsidRPr="00F954BB" w:rsidP="00D81392">
      <w:pPr>
        <w:pStyle w:val="BodyText"/>
        <w:sectPr w:rsidSect="00F954BB">
          <w:headerReference w:type="default" r:id="rId10"/>
          <w:footerReference w:type="default" r:id="rId11"/>
          <w:pgSz w:w="11908" w:h="16833"/>
          <w:pgMar w:top="1702" w:right="1418" w:bottom="1702" w:left="1418" w:header="992" w:footer="992" w:gutter="0"/>
          <w:cols w:space="720"/>
          <w:noEndnote/>
          <w:docGrid w:linePitch="299"/>
        </w:sectPr>
      </w:pPr>
    </w:p>
    <w:p w:rsidR="00000000" w:rsidRPr="00F954BB" w:rsidP="00F954BB">
      <w:pPr>
        <w:pStyle w:val="SuperHeading"/>
      </w:pPr>
      <w:r w:rsidRPr="00F954BB">
        <w:t>Assessment Requirements for TLIF5024 Develop plans for emergency response and recovery of rail networks</w:t>
      </w:r>
    </w:p>
    <w:p w:rsidR="00000000" w:rsidRPr="00F954BB" w:rsidP="00F954BB">
      <w:pPr>
        <w:pStyle w:val="Heading1"/>
      </w:pPr>
      <w:bookmarkStart w:id="11" w:name="O_752447"/>
      <w:bookmarkEnd w:id="11"/>
      <w:r w:rsidRPr="00F954BB">
        <w:t>Modification History</w:t>
      </w:r>
    </w:p>
    <w:p w:rsidR="00D81392" w:rsidP="00D81392">
      <w:pPr>
        <w:pStyle w:val="BodyText"/>
      </w:pPr>
      <w:r w:rsidRPr="00F954BB">
        <w:t>Release 1. This is the first release of this unit of competency in the TLI Transport and Logistics Training Package.</w:t>
      </w:r>
    </w:p>
    <w:p w:rsidR="00000000" w:rsidRPr="00F954BB" w:rsidP="00F954BB">
      <w:pPr>
        <w:pStyle w:val="Heading1"/>
      </w:pPr>
      <w:bookmarkStart w:id="12" w:name="O_752448"/>
      <w:bookmarkEnd w:id="12"/>
      <w:r w:rsidRPr="00F954BB">
        <w:t>Performance Evidence</w:t>
      </w:r>
    </w:p>
    <w:tbl>
      <w:tblPr>
        <w:tblW w:w="0" w:type="auto"/>
        <w:tblCellMar>
          <w:left w:w="62" w:type="dxa"/>
          <w:right w:w="62" w:type="dxa"/>
        </w:tblCellMar>
        <w:tblLook w:val="0000"/>
      </w:tblPr>
      <w:tblGrid>
        <w:gridCol w:w="9196"/>
      </w:tblGrid>
      <w:tr w:rsidTr="00D8139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Evidence required to demonstrate competence in this unit must be relevant to and satisfy all of the requirements of the elements and performance criteria on at least one occasion and include:</w:t>
            </w:r>
          </w:p>
        </w:tc>
      </w:tr>
      <w:tr w:rsidTr="00D8139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954BB" w:rsidP="00F954BB">
            <w:pPr>
              <w:pStyle w:val="ListBullet"/>
            </w:pPr>
            <w:r w:rsidRPr="00F954BB">
              <w:t>accessing and using rail industry standards, rules, codes of p</w:t>
            </w:r>
            <w:r w:rsidRPr="00F954BB">
              <w:t>ractice and guidelines</w:t>
            </w:r>
          </w:p>
          <w:p w:rsidR="00000000" w:rsidRPr="00F954BB" w:rsidP="00F954BB">
            <w:pPr>
              <w:pStyle w:val="ListBullet"/>
            </w:pPr>
            <w:r w:rsidRPr="00F954BB">
              <w:t>applying relevant legislation and workplace procedures when developing plans for emergency response and recovery</w:t>
            </w:r>
          </w:p>
          <w:p w:rsidR="00000000" w:rsidRPr="00F954BB" w:rsidP="00F954BB">
            <w:pPr>
              <w:pStyle w:val="ListBullet"/>
            </w:pPr>
            <w:r w:rsidRPr="00F954BB">
              <w:t>communicating effectively with others, particularly in relation to emergency response procedures and recovery planning</w:t>
            </w:r>
          </w:p>
          <w:p w:rsidR="00000000" w:rsidRPr="00F954BB" w:rsidP="00F954BB">
            <w:pPr>
              <w:pStyle w:val="ListBullet"/>
            </w:pPr>
            <w:r w:rsidRPr="00F954BB">
              <w:t>i</w:t>
            </w:r>
            <w:r w:rsidRPr="00F954BB">
              <w:t xml:space="preserve">dentifying job hazards and taking required action to minimise, control or eliminate identified hazards </w:t>
            </w:r>
          </w:p>
          <w:p w:rsidR="00000000" w:rsidRPr="00F954BB" w:rsidP="00F954BB">
            <w:pPr>
              <w:pStyle w:val="ListBullet"/>
            </w:pPr>
            <w:r w:rsidRPr="00F954BB">
              <w:t xml:space="preserve">identifying appropriate emergency response procedures for rail operational </w:t>
            </w:r>
          </w:p>
          <w:p w:rsidR="00000000" w:rsidRPr="00F954BB" w:rsidP="00F954BB">
            <w:pPr>
              <w:pStyle w:val="ListBullet"/>
            </w:pPr>
            <w:r w:rsidRPr="00F954BB">
              <w:t>producing well researched, documented and supported emergency response and r</w:t>
            </w:r>
            <w:r w:rsidRPr="00F954BB">
              <w:t>ecovery policies, procedures and plans</w:t>
            </w:r>
          </w:p>
          <w:p w:rsidR="00000000" w:rsidRPr="00F954BB" w:rsidP="00F954BB">
            <w:pPr>
              <w:pStyle w:val="ListBullet"/>
            </w:pPr>
            <w:r w:rsidRPr="00F954BB">
              <w:t xml:space="preserve">researching relevant rail network, emergency response procedures and recovery planning information </w:t>
            </w:r>
          </w:p>
          <w:p w:rsidR="00000000" w:rsidRPr="00F954BB" w:rsidP="00F954BB">
            <w:pPr>
              <w:pStyle w:val="ListBullet"/>
            </w:pPr>
            <w:r w:rsidRPr="00F954BB">
              <w:t xml:space="preserve">reviewing changing regulatory information </w:t>
            </w:r>
          </w:p>
          <w:p w:rsidR="00000000" w:rsidRPr="00F954BB" w:rsidP="00F954BB">
            <w:pPr>
              <w:pStyle w:val="ListBullet"/>
            </w:pPr>
            <w:r w:rsidRPr="00F954BB">
              <w:t>reviewing current emergency response procedures and making recommendations</w:t>
            </w:r>
            <w:r w:rsidRPr="00F954BB">
              <w:t xml:space="preserve"> for improvement.</w:t>
            </w:r>
          </w:p>
        </w:tc>
      </w:tr>
    </w:tbl>
    <w:p w:rsidR="00000000" w:rsidRPr="00F954BB" w:rsidP="00F954BB">
      <w:pPr>
        <w:pStyle w:val="BodyText"/>
      </w:pPr>
    </w:p>
    <w:p w:rsidR="00000000" w:rsidRPr="00F954BB" w:rsidP="00F954BB">
      <w:pPr>
        <w:pStyle w:val="AllowPageBreak"/>
      </w:pPr>
    </w:p>
    <w:p w:rsidR="00000000" w:rsidRPr="00F954BB" w:rsidP="00F954BB">
      <w:pPr>
        <w:pStyle w:val="Heading1"/>
      </w:pPr>
      <w:bookmarkStart w:id="13" w:name="O_752449"/>
      <w:bookmarkEnd w:id="13"/>
      <w:r w:rsidRPr="00F954BB">
        <w:t>Knowledge Evidence</w:t>
      </w:r>
    </w:p>
    <w:tbl>
      <w:tblPr>
        <w:tblW w:w="0" w:type="auto"/>
        <w:tblCellMar>
          <w:left w:w="62" w:type="dxa"/>
          <w:right w:w="62" w:type="dxa"/>
        </w:tblCellMar>
        <w:tblLook w:val="0000"/>
      </w:tblPr>
      <w:tblGrid>
        <w:gridCol w:w="9196"/>
      </w:tblGrid>
      <w:tr w:rsidTr="00D8139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954BB">
            <w:pPr>
              <w:pStyle w:val="BodyText"/>
              <w:rPr>
                <w:lang w:val="en-NZ"/>
              </w:rPr>
            </w:pPr>
            <w:r w:rsidRPr="00F954BB">
              <w:t>Evidence required to demonstrate competence in this unit must be relevant to and satisfy all of the requirements of the elements and performance criteria and include knowledge of:</w:t>
            </w:r>
          </w:p>
        </w:tc>
      </w:tr>
      <w:tr w:rsidTr="00D8139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954BB" w:rsidP="00F954BB">
            <w:pPr>
              <w:pStyle w:val="ListBullet"/>
            </w:pPr>
            <w:r w:rsidRPr="00F954BB">
              <w:t xml:space="preserve">changes in rail industry operations and technology with implications for degraded operations </w:t>
            </w:r>
          </w:p>
          <w:p w:rsidR="00000000" w:rsidRPr="00F954BB" w:rsidP="00F954BB">
            <w:pPr>
              <w:pStyle w:val="ListBullet"/>
            </w:pPr>
            <w:r w:rsidRPr="00F954BB">
              <w:t>emergency management plan and workplace procedures</w:t>
            </w:r>
          </w:p>
          <w:p w:rsidR="00000000" w:rsidRPr="00F954BB" w:rsidP="00F954BB">
            <w:pPr>
              <w:pStyle w:val="ListBullet"/>
            </w:pPr>
            <w:r w:rsidRPr="00F954BB">
              <w:t>key principles and practices associated with railway operations</w:t>
            </w:r>
          </w:p>
          <w:p w:rsidR="00000000" w:rsidRPr="00F954BB" w:rsidP="00F954BB">
            <w:pPr>
              <w:pStyle w:val="ListBullet"/>
            </w:pPr>
            <w:r w:rsidRPr="00F954BB">
              <w:t xml:space="preserve">rail industry </w:t>
            </w:r>
          </w:p>
          <w:p w:rsidR="00000000" w:rsidRPr="00F954BB" w:rsidP="00F954BB">
            <w:pPr>
              <w:pStyle w:val="ListBullet"/>
            </w:pPr>
            <w:r w:rsidRPr="00F954BB">
              <w:t>rail industry terminology, including terminology used in rail industry standards</w:t>
            </w:r>
          </w:p>
          <w:p w:rsidR="00000000" w:rsidRPr="00F954BB" w:rsidP="00F954BB">
            <w:pPr>
              <w:pStyle w:val="ListBullet"/>
            </w:pPr>
            <w:r w:rsidRPr="00F954BB">
              <w:t xml:space="preserve">relevant rail safety, emergency management plan, work health and safety (WHS)/occupational health and safety (OHS) and environmental legislation related to rail operations </w:t>
            </w:r>
          </w:p>
          <w:p w:rsidR="00000000" w:rsidRPr="00F954BB" w:rsidP="00F954BB">
            <w:pPr>
              <w:pStyle w:val="ListBullet"/>
            </w:pPr>
            <w:r w:rsidRPr="00F954BB">
              <w:t>sa</w:t>
            </w:r>
            <w:r w:rsidRPr="00F954BB">
              <w:t>fety management system.</w:t>
            </w:r>
          </w:p>
        </w:tc>
      </w:tr>
    </w:tbl>
    <w:p w:rsidR="00000000" w:rsidRPr="00F954BB" w:rsidP="00F954BB">
      <w:pPr>
        <w:pStyle w:val="BodyText"/>
      </w:pPr>
    </w:p>
    <w:p w:rsidR="00000000" w:rsidRPr="00F954BB" w:rsidP="00F954BB">
      <w:pPr>
        <w:pStyle w:val="AllowPageBreak"/>
      </w:pPr>
    </w:p>
    <w:p w:rsidR="00000000" w:rsidRPr="00F954BB" w:rsidP="00F954BB">
      <w:pPr>
        <w:pStyle w:val="Heading1"/>
      </w:pPr>
      <w:bookmarkStart w:id="14" w:name="O_752450"/>
      <w:bookmarkEnd w:id="14"/>
      <w:r w:rsidRPr="00F954BB">
        <w:t>Assessment Conditions</w:t>
      </w:r>
    </w:p>
    <w:tbl>
      <w:tblPr>
        <w:tblW w:w="0" w:type="auto"/>
        <w:tblCellMar>
          <w:left w:w="62" w:type="dxa"/>
          <w:right w:w="62" w:type="dxa"/>
        </w:tblCellMar>
        <w:tblLook w:val="0000"/>
      </w:tblPr>
      <w:tblGrid>
        <w:gridCol w:w="9196"/>
      </w:tblGrid>
      <w:tr w:rsidTr="00D81392">
        <w:tblPrEx>
          <w:tblW w:w="0" w:type="auto"/>
          <w:tblCellMar>
            <w:left w:w="62" w:type="dxa"/>
            <w:right w:w="62" w:type="dxa"/>
          </w:tblCellMar>
          <w:tblLook w:val="0000"/>
        </w:tblPrEx>
        <w:trPr>
          <w:trHeight w:val="4845"/>
        </w:trPr>
        <w:tc>
          <w:tcPr>
            <w:tcW w:w="0" w:type="auto"/>
            <w:tcBorders>
              <w:top w:val="nil"/>
              <w:left w:val="nil"/>
              <w:bottom w:val="nil"/>
              <w:right w:val="nil"/>
            </w:tcBorders>
            <w:tcMar>
              <w:top w:w="0" w:type="dxa"/>
              <w:left w:w="62" w:type="dxa"/>
              <w:bottom w:w="0" w:type="dxa"/>
              <w:right w:w="62" w:type="dxa"/>
            </w:tcMar>
          </w:tcPr>
          <w:p w:rsidR="00000000" w:rsidRPr="00F954BB" w:rsidP="00F954BB">
            <w:pPr>
              <w:pStyle w:val="BodyText"/>
            </w:pPr>
            <w:r w:rsidRPr="00F954BB">
              <w:t xml:space="preserve">As a minimum, assessors must satisfy applicable regulatory requirements, which include requirements in the </w:t>
            </w:r>
            <w:r w:rsidRPr="00F954BB">
              <w:rPr>
                <w:rStyle w:val="Emphasis"/>
              </w:rPr>
              <w:t>Standards for Registered Training Organisations</w:t>
            </w:r>
            <w:r w:rsidRPr="00F954BB">
              <w:t xml:space="preserve"> current at the time of assessment. </w:t>
            </w:r>
          </w:p>
          <w:p w:rsidR="00000000" w:rsidRPr="00F954BB" w:rsidP="00F954BB">
            <w:pPr>
              <w:pStyle w:val="BodyText"/>
            </w:pPr>
            <w:r w:rsidRPr="00F954BB">
              <w:t xml:space="preserve">As a minimum, assessment must satisfy applicable regulatory requirements, which include requirements in the </w:t>
            </w:r>
            <w:r w:rsidRPr="00F954BB">
              <w:rPr>
                <w:rStyle w:val="Emphasis"/>
              </w:rPr>
              <w:t>Standards for Registered Training Organisations</w:t>
            </w:r>
            <w:r w:rsidRPr="00F954BB">
              <w:t xml:space="preserve"> current at the time of assessment.</w:t>
            </w:r>
          </w:p>
          <w:p w:rsidR="00000000" w:rsidRPr="00F954BB" w:rsidP="00F954BB">
            <w:pPr>
              <w:pStyle w:val="BodyText"/>
            </w:pPr>
            <w:r w:rsidRPr="00F954BB">
              <w:t>Assessment must occur in rail workplace operational situations or</w:t>
            </w:r>
            <w:r w:rsidRPr="00F954BB">
              <w:t>, where this is not available, in simulated workplace operational situations that replicate rail workplace conditions.</w:t>
            </w:r>
          </w:p>
          <w:p w:rsidR="00000000" w:rsidRPr="00F954BB" w:rsidP="00F954BB">
            <w:pPr>
              <w:pStyle w:val="BodyText"/>
            </w:pPr>
            <w:r w:rsidRPr="00F954BB">
              <w:t>Assessment processes and techniques must be appropriate to the language, literacy and numeracy requirements of the work being performed and the needs of the candidate.</w:t>
            </w:r>
          </w:p>
          <w:p w:rsidR="00000000" w:rsidRPr="00F954BB" w:rsidP="00F954BB">
            <w:pPr>
              <w:pStyle w:val="BodyText"/>
            </w:pPr>
            <w:r w:rsidRPr="00F954BB">
              <w:t>Resources for assessment include:</w:t>
            </w:r>
          </w:p>
          <w:p w:rsidR="00000000" w:rsidRPr="00F954BB" w:rsidP="00F954BB">
            <w:pPr>
              <w:pStyle w:val="ListBullet2"/>
            </w:pPr>
            <w:r w:rsidRPr="00F954BB">
              <w:t>a range of relevant exercises, case studies and/or si</w:t>
            </w:r>
            <w:r w:rsidRPr="00F954BB">
              <w:t>mulations</w:t>
            </w:r>
          </w:p>
          <w:p w:rsidR="00000000" w:rsidRPr="00F954BB" w:rsidP="00F954BB">
            <w:pPr>
              <w:pStyle w:val="ListBullet2"/>
            </w:pPr>
            <w:r w:rsidRPr="00F954BB">
              <w:t>relevant and appropriate materials, tools, equipment and personal protective equipment currently used in industry</w:t>
            </w:r>
          </w:p>
          <w:p w:rsidR="00000000" w:rsidRPr="00F954BB" w:rsidP="00F954BB">
            <w:pPr>
              <w:pStyle w:val="ListBullet2"/>
            </w:pPr>
            <w:r w:rsidRPr="00F954BB">
              <w:t xml:space="preserve">applicable documentation including workplace procedures, rail industry standards, regulations, codes of practice, safety management </w:t>
            </w:r>
            <w:r w:rsidRPr="00F954BB">
              <w:t>system and operation manuals.</w:t>
            </w:r>
          </w:p>
        </w:tc>
      </w:tr>
    </w:tbl>
    <w:p w:rsidR="00000000" w:rsidRPr="00F954BB" w:rsidP="00F954BB">
      <w:pPr>
        <w:pStyle w:val="BodyText"/>
      </w:pPr>
    </w:p>
    <w:p w:rsidR="00000000" w:rsidRPr="00F954BB" w:rsidP="00F954BB">
      <w:pPr>
        <w:pStyle w:val="AllowPageBreak"/>
      </w:pPr>
    </w:p>
    <w:p w:rsidR="00000000" w:rsidRPr="00F954BB" w:rsidP="00F954BB">
      <w:pPr>
        <w:pStyle w:val="Heading1"/>
      </w:pPr>
      <w:bookmarkStart w:id="15" w:name="O_752453"/>
      <w:bookmarkEnd w:id="15"/>
      <w:r w:rsidRPr="00F954BB">
        <w:t>Links</w:t>
      </w:r>
    </w:p>
    <w:p w:rsidR="00000000" w:rsidRPr="00F954BB" w:rsidP="00D81392">
      <w:pPr>
        <w:pStyle w:val="BodyText"/>
      </w:pPr>
      <w:r w:rsidRPr="00F954B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D7A3D">
        <w:rPr>
          <w:rStyle w:val="Hyperlink"/>
        </w:rPr>
        <w:t>https://vetnet.gov.au/Pages/TrainingDocs.aspx?q=df441c6e-213d-43e3-874c-0b3f7036d851</w:t>
      </w:r>
      <w:r>
        <w:fldChar w:fldCharType="end"/>
      </w:r>
    </w:p>
    <w:p w:rsidR="00000000" w:rsidRPr="00F954BB" w:rsidP="00F954BB"/>
    <w:sectPr w:rsidSect="00F954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rsidRPr="00D81392" w:rsidP="00D81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2" w:rsidP="00F95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392" w:rsidP="00F954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1392" w:rsidP="00F954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rsidP="00F954BB">
    <w:pPr>
      <w:pStyle w:val="Footer"/>
      <w:framePr w:wrap="around"/>
    </w:pPr>
    <w:r>
      <w:fldChar w:fldCharType="begin"/>
    </w:r>
    <w:r>
      <w:instrText xml:space="preserve"> DOCPROPERTY  Subject  \* MERGEFORMAT </w:instrText>
    </w:r>
    <w:r>
      <w:fldChar w:fldCharType="separate"/>
    </w:r>
    <w:r w:rsidR="00D81392">
      <w:t>Approved</w:t>
    </w:r>
    <w:r w:rsidR="00D81392">
      <w:fldChar w:fldCharType="end"/>
    </w:r>
    <w:r>
      <w:tab/>
      <w:t xml:space="preserve">Page </w:t>
    </w:r>
    <w:r>
      <w:fldChar w:fldCharType="begin"/>
    </w:r>
    <w:r>
      <w:instrText xml:space="preserve"> PAGE  \* Arabic  \* MERGEFORMAT </w:instrText>
    </w:r>
    <w:r>
      <w:fldChar w:fldCharType="separate"/>
    </w:r>
    <w:r w:rsidR="00D813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392">
      <w:rPr>
        <w:noProof/>
      </w:rPr>
      <w:t>4</w:t>
    </w:r>
    <w:r>
      <w:rPr>
        <w:noProof/>
      </w:rPr>
      <w:fldChar w:fldCharType="end"/>
    </w:r>
  </w:p>
  <w:p w:rsidR="00F954BB" w:rsidP="00F954BB">
    <w:pPr>
      <w:pStyle w:val="Footer"/>
      <w:framePr w:wrap="around"/>
    </w:pPr>
    <w:r>
      <w:t xml:space="preserve">© Commonwealth of Australia, </w:t>
    </w:r>
    <w:r>
      <w:fldChar w:fldCharType="begin"/>
    </w:r>
    <w:r>
      <w:instrText xml:space="preserve"> DATE  \@ "yyyy"  \* MERGEFORMAT </w:instrText>
    </w:r>
    <w:r>
      <w:fldChar w:fldCharType="separate"/>
    </w:r>
    <w:r w:rsidR="00D81392">
      <w:rPr>
        <w:noProof/>
      </w:rPr>
      <w:t>2025</w:t>
    </w:r>
    <w:r>
      <w:fldChar w:fldCharType="end"/>
    </w:r>
    <w:r>
      <w:tab/>
    </w:r>
    <w:r>
      <w:fldChar w:fldCharType="begin"/>
    </w:r>
    <w:r>
      <w:instrText xml:space="preserve"> DOCPROPERTY  Author  \* MERGEFORMAT </w:instrText>
    </w:r>
    <w:r>
      <w:fldChar w:fldCharType="separate"/>
    </w:r>
    <w:r w:rsidR="00D81392">
      <w:t>Industry Skills Australia</w:t>
    </w:r>
    <w:r w:rsidR="00D81392">
      <w:fldChar w:fldCharType="end"/>
    </w:r>
  </w:p>
  <w:p w:rsidR="00F954BB" w:rsidP="00F95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4BB" w:rsidRPr="00D81392" w:rsidP="00D81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2" w:rsidRPr="002D2AF8" w:rsidP="00F954BB">
    <w:pPr>
      <w:pStyle w:val="Header"/>
      <w:framePr w:wrap="around"/>
    </w:pPr>
    <w:r>
      <w:fldChar w:fldCharType="begin"/>
    </w:r>
    <w:r>
      <w:instrText xml:space="preserve"> TITLE   \* MERGEFORMAT </w:instrText>
    </w:r>
    <w:r>
      <w:fldChar w:fldCharType="separate"/>
    </w:r>
    <w:r>
      <w:t>TLIF5024 Develop plans for emergency response and recovery of rail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1392" w:rsidP="00F954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BB" w:rsidRPr="002D2AF8" w:rsidP="00F954BB">
    <w:pPr>
      <w:pStyle w:val="Header"/>
      <w:framePr w:wrap="around"/>
    </w:pPr>
    <w:r>
      <w:fldChar w:fldCharType="begin"/>
    </w:r>
    <w:r>
      <w:instrText xml:space="preserve"> TITLE   \* MERGEFORMAT </w:instrText>
    </w:r>
    <w:r>
      <w:fldChar w:fldCharType="separate"/>
    </w:r>
    <w:r w:rsidR="00D81392">
      <w:t>TLIF5024 Develop plans for emergency response and recovery of rail networks</w:t>
    </w:r>
    <w:r w:rsidR="00D81392">
      <w:fldChar w:fldCharType="end"/>
    </w:r>
    <w:r>
      <w:tab/>
      <w:t xml:space="preserve">Date this document was generated: </w:t>
    </w:r>
    <w:r>
      <w:fldChar w:fldCharType="begin"/>
    </w:r>
    <w:r>
      <w:instrText xml:space="preserve"> CREATEDATE  \@ "d MMMM yyyy"  \* MERGEFORMAT </w:instrText>
    </w:r>
    <w:r>
      <w:fldChar w:fldCharType="separate"/>
    </w:r>
    <w:r w:rsidR="00D81392">
      <w:rPr>
        <w:noProof/>
      </w:rPr>
      <w:t>2 March 2025</w:t>
    </w:r>
    <w:r>
      <w:fldChar w:fldCharType="end"/>
    </w:r>
  </w:p>
  <w:p w:rsidR="00F954BB" w:rsidP="00F95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E2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48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0E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4BB"/>
    <w:pPr>
      <w:spacing w:before="360" w:after="60"/>
      <w:outlineLvl w:val="0"/>
    </w:pPr>
    <w:rPr>
      <w:sz w:val="32"/>
    </w:rPr>
  </w:style>
  <w:style w:type="paragraph" w:styleId="Heading2">
    <w:name w:val="heading 2"/>
    <w:basedOn w:val="HeadingBase"/>
    <w:next w:val="BodyText"/>
    <w:link w:val="Heading2Char"/>
    <w:qFormat/>
    <w:rsid w:val="00F954BB"/>
    <w:pPr>
      <w:keepLines/>
      <w:spacing w:before="240" w:after="120"/>
      <w:outlineLvl w:val="1"/>
    </w:pPr>
    <w:rPr>
      <w:sz w:val="28"/>
      <w:szCs w:val="40"/>
    </w:rPr>
  </w:style>
  <w:style w:type="paragraph" w:styleId="Heading3">
    <w:name w:val="heading 3"/>
    <w:basedOn w:val="HeadingBase"/>
    <w:next w:val="BodyText"/>
    <w:link w:val="Heading3Char"/>
    <w:qFormat/>
    <w:rsid w:val="00F954BB"/>
    <w:pPr>
      <w:spacing w:before="180" w:after="120"/>
      <w:outlineLvl w:val="2"/>
    </w:pPr>
    <w:rPr>
      <w:spacing w:val="-10"/>
      <w:kern w:val="32"/>
    </w:rPr>
  </w:style>
  <w:style w:type="paragraph" w:styleId="Heading4">
    <w:name w:val="heading 4"/>
    <w:basedOn w:val="HeadingBase"/>
    <w:next w:val="BodyText"/>
    <w:link w:val="Heading4Char"/>
    <w:qFormat/>
    <w:rsid w:val="00F954BB"/>
    <w:pPr>
      <w:spacing w:before="160" w:after="120"/>
      <w:outlineLvl w:val="3"/>
    </w:pPr>
    <w:rPr>
      <w:sz w:val="22"/>
    </w:rPr>
  </w:style>
  <w:style w:type="paragraph" w:styleId="Heading5">
    <w:name w:val="heading 5"/>
    <w:basedOn w:val="HeadingBase"/>
    <w:next w:val="Normal"/>
    <w:link w:val="Heading5Char"/>
    <w:qFormat/>
    <w:rsid w:val="00F954BB"/>
    <w:pPr>
      <w:spacing w:before="80"/>
      <w:outlineLvl w:val="4"/>
    </w:pPr>
    <w:rPr>
      <w:color w:val="918585"/>
      <w:sz w:val="20"/>
    </w:rPr>
  </w:style>
  <w:style w:type="paragraph" w:styleId="Heading6">
    <w:name w:val="heading 6"/>
    <w:basedOn w:val="HeadingBase"/>
    <w:next w:val="Normal"/>
    <w:link w:val="Heading6Char"/>
    <w:qFormat/>
    <w:rsid w:val="00F954BB"/>
    <w:pPr>
      <w:spacing w:before="60"/>
      <w:outlineLvl w:val="5"/>
    </w:pPr>
    <w:rPr>
      <w:color w:val="918585"/>
      <w:sz w:val="20"/>
    </w:rPr>
  </w:style>
  <w:style w:type="paragraph" w:styleId="Heading7">
    <w:name w:val="heading 7"/>
    <w:basedOn w:val="Normal"/>
    <w:next w:val="Normal"/>
    <w:link w:val="Heading7Char"/>
    <w:qFormat/>
    <w:rsid w:val="00F954BB"/>
    <w:pPr>
      <w:ind w:left="720"/>
      <w:outlineLvl w:val="6"/>
    </w:pPr>
    <w:rPr>
      <w:i/>
    </w:rPr>
  </w:style>
  <w:style w:type="paragraph" w:styleId="Heading8">
    <w:name w:val="heading 8"/>
    <w:basedOn w:val="Normal"/>
    <w:next w:val="Normal"/>
    <w:link w:val="Heading8Char"/>
    <w:qFormat/>
    <w:rsid w:val="00F954BB"/>
    <w:pPr>
      <w:ind w:left="720"/>
      <w:outlineLvl w:val="7"/>
    </w:pPr>
    <w:rPr>
      <w:i/>
    </w:rPr>
  </w:style>
  <w:style w:type="paragraph" w:styleId="Heading9">
    <w:name w:val="heading 9"/>
    <w:basedOn w:val="Normal"/>
    <w:next w:val="Normal"/>
    <w:link w:val="Heading9Char"/>
    <w:qFormat/>
    <w:rsid w:val="00F954BB"/>
    <w:pPr>
      <w:ind w:left="720"/>
      <w:outlineLvl w:val="8"/>
    </w:pPr>
    <w:rPr>
      <w:i/>
    </w:rPr>
  </w:style>
  <w:style w:type="character" w:default="1" w:styleId="DefaultParagraphFont">
    <w:name w:val="Default Paragraph Font"/>
    <w:uiPriority w:val="1"/>
    <w:unhideWhenUsed/>
    <w:rsid w:val="00F95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4BB"/>
  </w:style>
  <w:style w:type="character" w:customStyle="1" w:styleId="Heading1Char">
    <w:name w:val="Heading 1 Char"/>
    <w:basedOn w:val="DefaultParagraphFont"/>
    <w:link w:val="Heading1"/>
    <w:rsid w:val="00F954BB"/>
    <w:rPr>
      <w:rFonts w:ascii="Times New Roman" w:eastAsia="Times New Roman" w:hAnsi="Times New Roman" w:cs="Times New Roman"/>
      <w:b/>
      <w:sz w:val="32"/>
      <w:szCs w:val="20"/>
      <w:lang w:eastAsia="en-US"/>
    </w:rPr>
  </w:style>
  <w:style w:type="paragraph" w:styleId="BodyText">
    <w:name w:val="Body Text"/>
    <w:basedOn w:val="Normal"/>
    <w:link w:val="BodyTextChar"/>
    <w:rsid w:val="00F95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4BB"/>
    <w:rPr>
      <w:rFonts w:ascii="Times New Roman" w:eastAsia="Times New Roman" w:hAnsi="Times New Roman" w:cs="Times New Roman"/>
      <w:sz w:val="24"/>
      <w:lang w:eastAsia="en-US"/>
    </w:rPr>
  </w:style>
  <w:style w:type="paragraph" w:styleId="ListBullet">
    <w:name w:val="List Bullet"/>
    <w:basedOn w:val="List"/>
    <w:rsid w:val="00F954BB"/>
    <w:pPr>
      <w:numPr>
        <w:numId w:val="12"/>
      </w:numPr>
      <w:tabs>
        <w:tab w:val="clear" w:pos="340"/>
      </w:tabs>
      <w:spacing w:before="40" w:after="40"/>
    </w:pPr>
  </w:style>
  <w:style w:type="character" w:customStyle="1" w:styleId="SpecialBold">
    <w:name w:val="Special Bold"/>
    <w:basedOn w:val="DefaultParagraphFont"/>
    <w:rsid w:val="00F954BB"/>
    <w:rPr>
      <w:b/>
      <w:spacing w:val="0"/>
    </w:rPr>
  </w:style>
  <w:style w:type="paragraph" w:styleId="ListBullet2">
    <w:name w:val="List Bullet 2"/>
    <w:basedOn w:val="List2"/>
    <w:rsid w:val="00F954BB"/>
    <w:pPr>
      <w:numPr>
        <w:numId w:val="13"/>
      </w:numPr>
      <w:tabs>
        <w:tab w:val="clear" w:pos="680"/>
      </w:tabs>
    </w:pPr>
  </w:style>
  <w:style w:type="character" w:styleId="Emphasis">
    <w:name w:val="Emphasis"/>
    <w:basedOn w:val="DefaultParagraphFont"/>
    <w:qFormat/>
    <w:rsid w:val="00F954BB"/>
    <w:rPr>
      <w:i/>
    </w:rPr>
  </w:style>
  <w:style w:type="paragraph" w:customStyle="1" w:styleId="SuperHeading">
    <w:name w:val="SuperHeading"/>
    <w:basedOn w:val="Normal"/>
    <w:rsid w:val="00F954BB"/>
    <w:pPr>
      <w:spacing w:before="240" w:after="120"/>
      <w:outlineLvl w:val="0"/>
    </w:pPr>
    <w:rPr>
      <w:rFonts w:ascii="Times New Roman" w:hAnsi="Times New Roman"/>
      <w:b/>
      <w:sz w:val="32"/>
    </w:rPr>
  </w:style>
  <w:style w:type="paragraph" w:customStyle="1" w:styleId="AllowPageBreak">
    <w:name w:val="AllowPageBreak"/>
    <w:rsid w:val="00F95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4BB"/>
    <w:rPr>
      <w:rFonts w:ascii="Courier New" w:eastAsia="Times New Roman" w:hAnsi="Courier New" w:cs="Times New Roman"/>
      <w:i/>
      <w:szCs w:val="20"/>
      <w:lang w:eastAsia="en-US"/>
    </w:rPr>
  </w:style>
  <w:style w:type="paragraph" w:customStyle="1" w:styleId="HeadingBase">
    <w:name w:val="Heading Base"/>
    <w:rsid w:val="00F95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4BB"/>
    <w:pPr>
      <w:tabs>
        <w:tab w:val="right" w:leader="dot" w:pos="9072"/>
      </w:tabs>
      <w:ind w:left="567"/>
    </w:pPr>
    <w:rPr>
      <w:szCs w:val="22"/>
    </w:rPr>
  </w:style>
  <w:style w:type="paragraph" w:customStyle="1" w:styleId="TOCBase">
    <w:name w:val="TOC Base"/>
    <w:rsid w:val="00F95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4BB"/>
    <w:pPr>
      <w:tabs>
        <w:tab w:val="right" w:leader="dot" w:pos="9072"/>
      </w:tabs>
      <w:spacing w:before="40" w:after="40"/>
      <w:ind w:left="284"/>
    </w:pPr>
    <w:rPr>
      <w:rFonts w:ascii="Times New Roman" w:hAnsi="Times New Roman"/>
    </w:rPr>
  </w:style>
  <w:style w:type="paragraph" w:styleId="TOC1">
    <w:name w:val="toc 1"/>
    <w:basedOn w:val="TOCBase"/>
    <w:next w:val="Normal"/>
    <w:rsid w:val="00F95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4BB"/>
    <w:rPr>
      <w:rFonts w:ascii="Times New Roman" w:eastAsia="Times New Roman" w:hAnsi="Times New Roman" w:cs="Times New Roman"/>
      <w:sz w:val="16"/>
      <w:lang w:eastAsia="en-US"/>
    </w:rPr>
  </w:style>
  <w:style w:type="paragraph" w:styleId="Title">
    <w:name w:val="Title"/>
    <w:basedOn w:val="HeadingBase"/>
    <w:link w:val="TitleChar"/>
    <w:qFormat/>
    <w:rsid w:val="00F954BB"/>
    <w:pPr>
      <w:spacing w:before="5040"/>
      <w:jc w:val="center"/>
    </w:pPr>
    <w:rPr>
      <w:sz w:val="48"/>
      <w:szCs w:val="72"/>
      <w:lang w:val="en-US"/>
    </w:rPr>
  </w:style>
  <w:style w:type="character" w:customStyle="1" w:styleId="TitleChar">
    <w:name w:val="Title Char"/>
    <w:basedOn w:val="DefaultParagraphFont"/>
    <w:link w:val="Title"/>
    <w:rsid w:val="00F95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4BB"/>
    <w:pPr>
      <w:tabs>
        <w:tab w:val="left" w:pos="3600"/>
        <w:tab w:val="left" w:pos="3958"/>
      </w:tabs>
    </w:pPr>
  </w:style>
  <w:style w:type="paragraph" w:styleId="List">
    <w:name w:val="List"/>
    <w:basedOn w:val="BodyText"/>
    <w:next w:val="BodyText"/>
    <w:rsid w:val="00F954BB"/>
    <w:pPr>
      <w:tabs>
        <w:tab w:val="left" w:pos="340"/>
      </w:tabs>
      <w:spacing w:before="60" w:after="60"/>
      <w:ind w:left="340" w:hanging="340"/>
    </w:pPr>
  </w:style>
  <w:style w:type="paragraph" w:customStyle="1" w:styleId="Note">
    <w:name w:val="Note"/>
    <w:basedOn w:val="BodyText"/>
    <w:rsid w:val="00F95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4BB"/>
    <w:pPr>
      <w:framePr w:wrap="auto" w:hAnchor="text" w:y="6049"/>
    </w:pPr>
    <w:rPr>
      <w:color w:val="000000"/>
      <w:sz w:val="40"/>
    </w:rPr>
  </w:style>
  <w:style w:type="paragraph" w:customStyle="1" w:styleId="TOCTitle">
    <w:name w:val="TOCTitle"/>
    <w:basedOn w:val="Heading1"/>
    <w:rsid w:val="00F954BB"/>
    <w:pPr>
      <w:spacing w:after="240"/>
      <w:jc w:val="center"/>
      <w:outlineLvl w:val="9"/>
    </w:pPr>
    <w:rPr>
      <w:caps/>
    </w:rPr>
  </w:style>
  <w:style w:type="paragraph" w:customStyle="1" w:styleId="Version">
    <w:name w:val="Version"/>
    <w:rsid w:val="00F95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4BB"/>
    <w:pPr>
      <w:keepNext w:val="0"/>
      <w:tabs>
        <w:tab w:val="right" w:pos="4176"/>
      </w:tabs>
      <w:ind w:left="198" w:hanging="198"/>
    </w:pPr>
    <w:rPr>
      <w:rFonts w:ascii="Garamond" w:hAnsi="Garamond"/>
    </w:rPr>
  </w:style>
  <w:style w:type="paragraph" w:styleId="IndexHeading">
    <w:name w:val="index heading"/>
    <w:basedOn w:val="Normal"/>
    <w:next w:val="Index1"/>
    <w:semiHidden/>
    <w:rsid w:val="00F954BB"/>
    <w:pPr>
      <w:spacing w:before="120" w:after="120"/>
    </w:pPr>
    <w:rPr>
      <w:rFonts w:ascii="Arial" w:hAnsi="Arial"/>
      <w:b/>
      <w:color w:val="918585"/>
      <w:sz w:val="24"/>
    </w:rPr>
  </w:style>
  <w:style w:type="paragraph" w:styleId="Header">
    <w:name w:val="header"/>
    <w:basedOn w:val="Normal"/>
    <w:link w:val="HeaderChar"/>
    <w:rsid w:val="00F95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4BB"/>
    <w:rPr>
      <w:rFonts w:ascii="Times New Roman" w:eastAsia="Times New Roman" w:hAnsi="Times New Roman" w:cs="Times New Roman"/>
      <w:sz w:val="16"/>
      <w:szCs w:val="20"/>
      <w:lang w:val="en-GB" w:eastAsia="en-US"/>
    </w:rPr>
  </w:style>
  <w:style w:type="paragraph" w:customStyle="1" w:styleId="Chapter">
    <w:name w:val="Chapter"/>
    <w:basedOn w:val="Normal"/>
    <w:rsid w:val="00F954BB"/>
    <w:pPr>
      <w:spacing w:before="240"/>
    </w:pPr>
    <w:rPr>
      <w:rFonts w:ascii="Times New Roman" w:hAnsi="Times New Roman"/>
      <w:smallCaps/>
      <w:spacing w:val="80"/>
      <w:sz w:val="28"/>
    </w:rPr>
  </w:style>
  <w:style w:type="paragraph" w:customStyle="1" w:styleId="InChapter">
    <w:name w:val="InChapter"/>
    <w:basedOn w:val="Heading3"/>
    <w:rsid w:val="00F954BB"/>
    <w:pPr>
      <w:spacing w:after="240"/>
      <w:outlineLvl w:val="9"/>
    </w:pPr>
    <w:rPr>
      <w:noProof/>
    </w:rPr>
  </w:style>
  <w:style w:type="paragraph" w:styleId="Index2">
    <w:name w:val="index 2"/>
    <w:basedOn w:val="Normal"/>
    <w:next w:val="Normal"/>
    <w:semiHidden/>
    <w:rsid w:val="00F954BB"/>
    <w:pPr>
      <w:tabs>
        <w:tab w:val="right" w:pos="4176"/>
      </w:tabs>
      <w:ind w:left="568" w:hanging="284"/>
    </w:pPr>
    <w:rPr>
      <w:rFonts w:ascii="Garamond" w:hAnsi="Garamond"/>
    </w:rPr>
  </w:style>
  <w:style w:type="paragraph" w:customStyle="1" w:styleId="Byline">
    <w:name w:val="Byline"/>
    <w:rsid w:val="00F95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4BB"/>
    <w:pPr>
      <w:tabs>
        <w:tab w:val="clear" w:pos="3600"/>
        <w:tab w:val="clear" w:pos="3958"/>
      </w:tabs>
      <w:jc w:val="right"/>
    </w:pPr>
  </w:style>
  <w:style w:type="paragraph" w:styleId="Caption">
    <w:name w:val="caption"/>
    <w:basedOn w:val="BodyText"/>
    <w:next w:val="Normal"/>
    <w:qFormat/>
    <w:rsid w:val="00F954BB"/>
    <w:pPr>
      <w:framePr w:w="2268" w:hSpace="181" w:vSpace="181" w:wrap="around" w:vAnchor="text" w:hAnchor="page" w:x="1135" w:y="285" w:anchorLock="1"/>
    </w:pPr>
    <w:rPr>
      <w:i/>
    </w:rPr>
  </w:style>
  <w:style w:type="paragraph" w:customStyle="1" w:styleId="MiniTOCTitle">
    <w:name w:val="MiniTOCTitle"/>
    <w:basedOn w:val="Heading4"/>
    <w:rsid w:val="00F954BB"/>
    <w:pPr>
      <w:spacing w:before="240"/>
      <w:outlineLvl w:val="9"/>
    </w:pPr>
    <w:rPr>
      <w:noProof/>
      <w:sz w:val="24"/>
    </w:rPr>
  </w:style>
  <w:style w:type="paragraph" w:customStyle="1" w:styleId="MiniTOCItem">
    <w:name w:val="MiniTOCItem"/>
    <w:basedOn w:val="ListBullet"/>
    <w:rsid w:val="00F954BB"/>
    <w:pPr>
      <w:numPr>
        <w:numId w:val="0"/>
      </w:numPr>
      <w:tabs>
        <w:tab w:val="right" w:leader="dot" w:pos="6521"/>
      </w:tabs>
      <w:spacing w:before="0" w:after="0"/>
    </w:pPr>
  </w:style>
  <w:style w:type="paragraph" w:customStyle="1" w:styleId="TOFTitle">
    <w:name w:val="TOFTitle"/>
    <w:basedOn w:val="TOCTitle"/>
    <w:rsid w:val="00F954BB"/>
  </w:style>
  <w:style w:type="paragraph" w:styleId="TableofFigures">
    <w:name w:val="table of figures"/>
    <w:basedOn w:val="Normal"/>
    <w:next w:val="Normal"/>
    <w:semiHidden/>
    <w:rsid w:val="00F954BB"/>
    <w:pPr>
      <w:tabs>
        <w:tab w:val="right" w:leader="dot" w:pos="9072"/>
      </w:tabs>
      <w:ind w:left="970" w:hanging="403"/>
    </w:pPr>
    <w:rPr>
      <w:rFonts w:ascii="Times New Roman" w:hAnsi="Times New Roman"/>
      <w:b/>
    </w:rPr>
  </w:style>
  <w:style w:type="paragraph" w:styleId="ListNumber">
    <w:name w:val="List Number"/>
    <w:basedOn w:val="List"/>
    <w:rsid w:val="00F954BB"/>
    <w:pPr>
      <w:numPr>
        <w:numId w:val="15"/>
      </w:numPr>
      <w:tabs>
        <w:tab w:val="clear" w:pos="340"/>
      </w:tabs>
    </w:pPr>
  </w:style>
  <w:style w:type="character" w:customStyle="1" w:styleId="WingdingSymbols">
    <w:name w:val="Wingding Symbols"/>
    <w:rsid w:val="00F954BB"/>
    <w:rPr>
      <w:rFonts w:ascii="Wingdings" w:hAnsi="Wingdings"/>
    </w:rPr>
  </w:style>
  <w:style w:type="paragraph" w:customStyle="1" w:styleId="TableHeading">
    <w:name w:val="Table Heading"/>
    <w:basedOn w:val="HeadingBase"/>
    <w:rsid w:val="00F954BB"/>
    <w:pPr>
      <w:keepLines/>
      <w:pBdr>
        <w:bottom w:val="single" w:sz="6" w:space="1" w:color="918585"/>
      </w:pBdr>
      <w:spacing w:before="240"/>
    </w:pPr>
  </w:style>
  <w:style w:type="character" w:customStyle="1" w:styleId="HotSpot">
    <w:name w:val="HotSpot"/>
    <w:rsid w:val="00F954BB"/>
    <w:rPr>
      <w:color w:val="0033CC"/>
      <w:u w:val="none"/>
    </w:rPr>
  </w:style>
  <w:style w:type="paragraph" w:customStyle="1" w:styleId="BodyTextRight">
    <w:name w:val="Body Text Right"/>
    <w:basedOn w:val="BodyText"/>
    <w:rsid w:val="00F954BB"/>
    <w:pPr>
      <w:spacing w:before="0" w:after="0"/>
      <w:jc w:val="right"/>
    </w:pPr>
  </w:style>
  <w:style w:type="paragraph" w:styleId="Index3">
    <w:name w:val="index 3"/>
    <w:basedOn w:val="ListNumber2"/>
    <w:next w:val="Normal"/>
    <w:semiHidden/>
    <w:rsid w:val="00F954BB"/>
    <w:pPr>
      <w:numPr>
        <w:numId w:val="0"/>
      </w:numPr>
      <w:tabs>
        <w:tab w:val="right" w:leader="dot" w:pos="4176"/>
      </w:tabs>
    </w:pPr>
  </w:style>
  <w:style w:type="paragraph" w:styleId="ListNumber2">
    <w:name w:val="List Number 2"/>
    <w:basedOn w:val="List2"/>
    <w:rsid w:val="00F954BB"/>
    <w:pPr>
      <w:numPr>
        <w:numId w:val="10"/>
      </w:numPr>
      <w:tabs>
        <w:tab w:val="clear" w:pos="1060"/>
      </w:tabs>
    </w:pPr>
  </w:style>
  <w:style w:type="paragraph" w:customStyle="1" w:styleId="MarginNote">
    <w:name w:val="Margin Note"/>
    <w:basedOn w:val="BodyText"/>
    <w:rsid w:val="00F95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4BB"/>
    <w:rPr>
      <w:sz w:val="32"/>
    </w:rPr>
  </w:style>
  <w:style w:type="paragraph" w:customStyle="1" w:styleId="HeadingProcedure">
    <w:name w:val="Heading Procedure"/>
    <w:basedOn w:val="HeadingBase"/>
    <w:next w:val="Normal"/>
    <w:rsid w:val="00F954BB"/>
    <w:pPr>
      <w:tabs>
        <w:tab w:val="left" w:pos="0"/>
      </w:tabs>
      <w:spacing w:before="120" w:after="60"/>
    </w:pPr>
    <w:rPr>
      <w:i/>
      <w:color w:val="918585"/>
      <w:sz w:val="22"/>
    </w:rPr>
  </w:style>
  <w:style w:type="paragraph" w:customStyle="1" w:styleId="TableBodyText">
    <w:name w:val="Table Body Text"/>
    <w:basedOn w:val="BodyText"/>
    <w:rsid w:val="00F954BB"/>
    <w:pPr>
      <w:spacing w:before="60" w:after="60"/>
    </w:pPr>
  </w:style>
  <w:style w:type="paragraph" w:styleId="ListContinue">
    <w:name w:val="List Continue"/>
    <w:basedOn w:val="List"/>
    <w:rsid w:val="00F954BB"/>
    <w:pPr>
      <w:ind w:firstLine="0"/>
    </w:pPr>
  </w:style>
  <w:style w:type="paragraph" w:customStyle="1" w:styleId="ListNote">
    <w:name w:val="List Note"/>
    <w:basedOn w:val="List"/>
    <w:rsid w:val="00F954BB"/>
    <w:pPr>
      <w:pBdr>
        <w:top w:val="single" w:sz="6" w:space="2" w:color="918585"/>
        <w:bottom w:val="single" w:sz="6" w:space="2" w:color="918585"/>
      </w:pBdr>
      <w:tabs>
        <w:tab w:val="left" w:pos="1021"/>
      </w:tabs>
      <w:ind w:firstLine="0"/>
    </w:pPr>
  </w:style>
  <w:style w:type="paragraph" w:customStyle="1" w:styleId="Warning">
    <w:name w:val="Warning"/>
    <w:basedOn w:val="BodyText"/>
    <w:rsid w:val="00F954BB"/>
    <w:pPr>
      <w:shd w:val="clear" w:color="auto" w:fill="D9D9D9"/>
      <w:tabs>
        <w:tab w:val="left" w:pos="992"/>
      </w:tabs>
      <w:ind w:left="119" w:right="119"/>
    </w:pPr>
    <w:rPr>
      <w:sz w:val="20"/>
    </w:rPr>
  </w:style>
  <w:style w:type="paragraph" w:customStyle="1" w:styleId="MarginIcons">
    <w:name w:val="Margin Icons"/>
    <w:basedOn w:val="BodyText"/>
    <w:rsid w:val="00F95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4BB"/>
    <w:rPr>
      <w:rFonts w:ascii="Courier New" w:hAnsi="Courier New"/>
    </w:rPr>
  </w:style>
  <w:style w:type="paragraph" w:customStyle="1" w:styleId="NoteBullet">
    <w:name w:val="Note Bullet"/>
    <w:basedOn w:val="Note"/>
    <w:rsid w:val="00F954BB"/>
    <w:pPr>
      <w:tabs>
        <w:tab w:val="clear" w:pos="680"/>
      </w:tabs>
      <w:spacing w:before="60" w:after="60"/>
    </w:pPr>
  </w:style>
  <w:style w:type="paragraph" w:customStyle="1" w:styleId="SubHeading2">
    <w:name w:val="SubHeading2"/>
    <w:basedOn w:val="HeadingBase"/>
    <w:rsid w:val="00F954BB"/>
    <w:pPr>
      <w:spacing w:before="240" w:after="60"/>
    </w:pPr>
    <w:rPr>
      <w:sz w:val="20"/>
    </w:rPr>
  </w:style>
  <w:style w:type="paragraph" w:customStyle="1" w:styleId="SubHeading1">
    <w:name w:val="SubHeading1"/>
    <w:basedOn w:val="HeadingBase"/>
    <w:rsid w:val="00F954BB"/>
    <w:pPr>
      <w:spacing w:before="240" w:after="60"/>
    </w:pPr>
    <w:rPr>
      <w:color w:val="918585"/>
      <w:sz w:val="22"/>
    </w:rPr>
  </w:style>
  <w:style w:type="paragraph" w:customStyle="1" w:styleId="SideHeading">
    <w:name w:val="Side Heading"/>
    <w:basedOn w:val="HeadingBase"/>
    <w:rsid w:val="00F95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4BB"/>
    <w:pPr>
      <w:tabs>
        <w:tab w:val="num" w:pos="360"/>
      </w:tabs>
    </w:pPr>
  </w:style>
  <w:style w:type="paragraph" w:styleId="PlainText">
    <w:name w:val="Plain Text"/>
    <w:basedOn w:val="Normal"/>
    <w:link w:val="PlainTextChar"/>
    <w:rsid w:val="00F954BB"/>
    <w:rPr>
      <w:sz w:val="20"/>
    </w:rPr>
  </w:style>
  <w:style w:type="character" w:customStyle="1" w:styleId="PlainTextChar">
    <w:name w:val="Plain Text Char"/>
    <w:basedOn w:val="DefaultParagraphFont"/>
    <w:link w:val="PlainText"/>
    <w:rsid w:val="00F954BB"/>
    <w:rPr>
      <w:rFonts w:ascii="Courier New" w:eastAsia="Times New Roman" w:hAnsi="Courier New" w:cs="Times New Roman"/>
      <w:sz w:val="20"/>
      <w:szCs w:val="20"/>
      <w:lang w:eastAsia="en-US"/>
    </w:rPr>
  </w:style>
  <w:style w:type="character" w:customStyle="1" w:styleId="MenuOption">
    <w:name w:val="Menu Option"/>
    <w:basedOn w:val="DefaultParagraphFont"/>
    <w:rsid w:val="00F954BB"/>
    <w:rPr>
      <w:b/>
      <w:smallCaps/>
    </w:rPr>
  </w:style>
  <w:style w:type="paragraph" w:customStyle="1" w:styleId="TableListNumber">
    <w:name w:val="Table List Number"/>
    <w:basedOn w:val="ListNumber"/>
    <w:rsid w:val="00F954BB"/>
    <w:pPr>
      <w:numPr>
        <w:numId w:val="0"/>
      </w:numPr>
    </w:pPr>
  </w:style>
  <w:style w:type="paragraph" w:styleId="TOC4">
    <w:name w:val="toc 4"/>
    <w:basedOn w:val="TOCBase"/>
    <w:next w:val="Normal"/>
    <w:semiHidden/>
    <w:rsid w:val="00F954BB"/>
    <w:pPr>
      <w:tabs>
        <w:tab w:val="right" w:leader="dot" w:pos="9071"/>
      </w:tabs>
      <w:ind w:left="1701"/>
    </w:pPr>
  </w:style>
  <w:style w:type="paragraph" w:customStyle="1" w:styleId="ListAlpha">
    <w:name w:val="List Alpha"/>
    <w:basedOn w:val="List"/>
    <w:rsid w:val="00F954BB"/>
    <w:pPr>
      <w:numPr>
        <w:numId w:val="9"/>
      </w:numPr>
    </w:pPr>
  </w:style>
  <w:style w:type="paragraph" w:customStyle="1" w:styleId="ListAlpha2">
    <w:name w:val="List Alpha 2"/>
    <w:basedOn w:val="List2"/>
    <w:rsid w:val="00F954BB"/>
    <w:pPr>
      <w:numPr>
        <w:numId w:val="8"/>
      </w:numPr>
    </w:pPr>
  </w:style>
  <w:style w:type="paragraph" w:styleId="List2">
    <w:name w:val="List 2"/>
    <w:basedOn w:val="BodyText"/>
    <w:rsid w:val="00F954BB"/>
    <w:pPr>
      <w:tabs>
        <w:tab w:val="left" w:pos="680"/>
      </w:tabs>
      <w:spacing w:before="60" w:after="60"/>
      <w:ind w:left="680" w:hanging="340"/>
    </w:pPr>
  </w:style>
  <w:style w:type="paragraph" w:styleId="List3">
    <w:name w:val="List 3"/>
    <w:basedOn w:val="BodyText"/>
    <w:rsid w:val="00F954BB"/>
    <w:pPr>
      <w:tabs>
        <w:tab w:val="left" w:pos="1021"/>
      </w:tabs>
      <w:spacing w:before="60" w:after="60"/>
      <w:ind w:left="1020" w:hanging="340"/>
    </w:pPr>
  </w:style>
  <w:style w:type="paragraph" w:styleId="List4">
    <w:name w:val="List 4"/>
    <w:basedOn w:val="BodyText"/>
    <w:rsid w:val="00F954BB"/>
    <w:pPr>
      <w:tabs>
        <w:tab w:val="left" w:pos="1361"/>
      </w:tabs>
      <w:spacing w:before="60" w:after="60"/>
      <w:ind w:left="1361" w:hanging="340"/>
    </w:pPr>
  </w:style>
  <w:style w:type="paragraph" w:styleId="List5">
    <w:name w:val="List 5"/>
    <w:basedOn w:val="BodyText"/>
    <w:rsid w:val="00F954BB"/>
    <w:pPr>
      <w:tabs>
        <w:tab w:val="left" w:pos="1701"/>
      </w:tabs>
      <w:spacing w:before="60" w:after="60"/>
      <w:ind w:left="1701" w:hanging="340"/>
    </w:pPr>
  </w:style>
  <w:style w:type="paragraph" w:styleId="ListBullet3">
    <w:name w:val="List Bullet 3"/>
    <w:basedOn w:val="List3"/>
    <w:rsid w:val="00F954BB"/>
    <w:pPr>
      <w:numPr>
        <w:numId w:val="14"/>
      </w:numPr>
      <w:tabs>
        <w:tab w:val="clear" w:pos="1021"/>
      </w:tabs>
      <w:ind w:left="1037" w:hanging="357"/>
    </w:pPr>
  </w:style>
  <w:style w:type="paragraph" w:styleId="ListBullet4">
    <w:name w:val="List Bullet 4"/>
    <w:basedOn w:val="List4"/>
    <w:rsid w:val="00F954BB"/>
    <w:pPr>
      <w:numPr>
        <w:numId w:val="3"/>
      </w:numPr>
      <w:tabs>
        <w:tab w:val="clear" w:pos="1361"/>
      </w:tabs>
    </w:pPr>
  </w:style>
  <w:style w:type="paragraph" w:styleId="ListBullet5">
    <w:name w:val="List Bullet 5"/>
    <w:basedOn w:val="List5"/>
    <w:rsid w:val="00F954BB"/>
    <w:pPr>
      <w:numPr>
        <w:numId w:val="4"/>
      </w:numPr>
    </w:pPr>
  </w:style>
  <w:style w:type="paragraph" w:styleId="ListContinue2">
    <w:name w:val="List Continue 2"/>
    <w:basedOn w:val="List2"/>
    <w:rsid w:val="00F954BB"/>
    <w:pPr>
      <w:ind w:firstLine="0"/>
    </w:pPr>
  </w:style>
  <w:style w:type="paragraph" w:styleId="ListContinue3">
    <w:name w:val="List Continue 3"/>
    <w:basedOn w:val="List3"/>
    <w:rsid w:val="00F954BB"/>
    <w:pPr>
      <w:ind w:left="1021" w:firstLine="0"/>
    </w:pPr>
  </w:style>
  <w:style w:type="paragraph" w:styleId="ListContinue4">
    <w:name w:val="List Continue 4"/>
    <w:basedOn w:val="List4"/>
    <w:rsid w:val="00F954BB"/>
    <w:pPr>
      <w:ind w:firstLine="0"/>
    </w:pPr>
  </w:style>
  <w:style w:type="paragraph" w:styleId="ListContinue5">
    <w:name w:val="List Continue 5"/>
    <w:basedOn w:val="List5"/>
    <w:rsid w:val="00F954BB"/>
    <w:pPr>
      <w:ind w:firstLine="0"/>
    </w:pPr>
  </w:style>
  <w:style w:type="paragraph" w:styleId="ListNumber3">
    <w:name w:val="List Number 3"/>
    <w:basedOn w:val="List3"/>
    <w:rsid w:val="00F954BB"/>
    <w:pPr>
      <w:numPr>
        <w:numId w:val="5"/>
      </w:numPr>
    </w:pPr>
  </w:style>
  <w:style w:type="paragraph" w:styleId="ListNumber4">
    <w:name w:val="List Number 4"/>
    <w:basedOn w:val="List4"/>
    <w:rsid w:val="00F954BB"/>
    <w:pPr>
      <w:numPr>
        <w:numId w:val="6"/>
      </w:numPr>
    </w:pPr>
  </w:style>
  <w:style w:type="paragraph" w:styleId="ListNumber5">
    <w:name w:val="List Number 5"/>
    <w:basedOn w:val="List5"/>
    <w:rsid w:val="00F954BB"/>
    <w:pPr>
      <w:numPr>
        <w:numId w:val="7"/>
      </w:numPr>
    </w:pPr>
  </w:style>
  <w:style w:type="paragraph" w:styleId="BlockText">
    <w:name w:val="Block Text"/>
    <w:basedOn w:val="Normal"/>
    <w:rsid w:val="00F954BB"/>
    <w:pPr>
      <w:spacing w:after="120"/>
      <w:ind w:left="1440" w:right="1440"/>
    </w:pPr>
  </w:style>
  <w:style w:type="character" w:customStyle="1" w:styleId="Subscript">
    <w:name w:val="Subscript"/>
    <w:basedOn w:val="DefaultParagraphFont"/>
    <w:rsid w:val="00F954BB"/>
    <w:rPr>
      <w:sz w:val="16"/>
      <w:vertAlign w:val="subscript"/>
    </w:rPr>
  </w:style>
  <w:style w:type="character" w:customStyle="1" w:styleId="Superscript">
    <w:name w:val="Superscript"/>
    <w:basedOn w:val="DefaultParagraphFont"/>
    <w:rsid w:val="00F954BB"/>
    <w:rPr>
      <w:sz w:val="16"/>
      <w:vertAlign w:val="superscript"/>
    </w:rPr>
  </w:style>
  <w:style w:type="character" w:customStyle="1" w:styleId="Symbols">
    <w:name w:val="Symbols"/>
    <w:basedOn w:val="DefaultParagraphFont"/>
    <w:rsid w:val="00F954BB"/>
    <w:rPr>
      <w:rFonts w:ascii="Symbol" w:hAnsi="Symbol"/>
    </w:rPr>
  </w:style>
  <w:style w:type="character" w:customStyle="1" w:styleId="MenuOptions">
    <w:name w:val="Menu Options"/>
    <w:basedOn w:val="DefaultParagraphFont"/>
    <w:rsid w:val="00F954BB"/>
    <w:rPr>
      <w:rFonts w:ascii="Arial Narrow" w:hAnsi="Arial Narrow"/>
      <w:smallCaps/>
    </w:rPr>
  </w:style>
  <w:style w:type="character" w:customStyle="1" w:styleId="Buttons">
    <w:name w:val="Buttons"/>
    <w:basedOn w:val="DefaultParagraphFont"/>
    <w:rsid w:val="00F954BB"/>
    <w:rPr>
      <w:b/>
    </w:rPr>
  </w:style>
  <w:style w:type="character" w:customStyle="1" w:styleId="Underlined">
    <w:name w:val="Underlined"/>
    <w:basedOn w:val="DefaultParagraphFont"/>
    <w:rsid w:val="00F954BB"/>
    <w:rPr>
      <w:u w:val="single"/>
    </w:rPr>
  </w:style>
  <w:style w:type="paragraph" w:customStyle="1" w:styleId="TableBodyTextRight">
    <w:name w:val="Table Body Text Right"/>
    <w:basedOn w:val="TableBodyText"/>
    <w:rsid w:val="00F954BB"/>
    <w:pPr>
      <w:widowControl w:val="0"/>
      <w:autoSpaceDE w:val="0"/>
      <w:autoSpaceDN w:val="0"/>
      <w:adjustRightInd w:val="0"/>
      <w:jc w:val="right"/>
    </w:pPr>
    <w:rPr>
      <w:rFonts w:cs="Arial"/>
      <w:szCs w:val="18"/>
    </w:rPr>
  </w:style>
  <w:style w:type="paragraph" w:customStyle="1" w:styleId="CopyrightText">
    <w:name w:val="Copyright Text"/>
    <w:basedOn w:val="BodyText"/>
    <w:rsid w:val="00F954BB"/>
    <w:rPr>
      <w:sz w:val="18"/>
    </w:rPr>
  </w:style>
  <w:style w:type="paragraph" w:customStyle="1" w:styleId="BodySmallRight">
    <w:name w:val="Body Small Right"/>
    <w:basedOn w:val="BodyTextRight"/>
    <w:rsid w:val="00F954BB"/>
    <w:rPr>
      <w:sz w:val="18"/>
      <w:szCs w:val="18"/>
    </w:rPr>
  </w:style>
  <w:style w:type="paragraph" w:customStyle="1" w:styleId="MarginEdition">
    <w:name w:val="Margin Edition"/>
    <w:basedOn w:val="MarginNote"/>
    <w:rsid w:val="00F954BB"/>
    <w:pPr>
      <w:spacing w:before="0" w:after="0"/>
    </w:pPr>
    <w:rPr>
      <w:rFonts w:ascii="Times New Roman" w:hAnsi="Times New Roman"/>
      <w:color w:val="999999"/>
    </w:rPr>
  </w:style>
  <w:style w:type="paragraph" w:customStyle="1" w:styleId="Spacer">
    <w:name w:val="Spacer"/>
    <w:basedOn w:val="Normal"/>
    <w:rsid w:val="00F954BB"/>
    <w:rPr>
      <w:sz w:val="2"/>
      <w:szCs w:val="2"/>
    </w:rPr>
  </w:style>
  <w:style w:type="character" w:customStyle="1" w:styleId="Small">
    <w:name w:val="Small"/>
    <w:basedOn w:val="DefaultParagraphFont"/>
    <w:rsid w:val="00F954BB"/>
    <w:rPr>
      <w:sz w:val="16"/>
    </w:rPr>
  </w:style>
  <w:style w:type="paragraph" w:customStyle="1" w:styleId="WideTable">
    <w:name w:val="Wide Table"/>
    <w:basedOn w:val="Normal"/>
    <w:rsid w:val="00F954BB"/>
    <w:pPr>
      <w:ind w:left="-1418"/>
    </w:pPr>
    <w:rPr>
      <w:sz w:val="2"/>
      <w:szCs w:val="2"/>
    </w:rPr>
  </w:style>
  <w:style w:type="character" w:styleId="PageNumber">
    <w:name w:val="page number"/>
    <w:basedOn w:val="DefaultParagraphFont"/>
    <w:rsid w:val="00F954BB"/>
  </w:style>
  <w:style w:type="paragraph" w:styleId="Quote">
    <w:name w:val="Quote"/>
    <w:basedOn w:val="Heading1"/>
    <w:link w:val="QuoteChar"/>
    <w:qFormat/>
    <w:rsid w:val="00F954BB"/>
    <w:rPr>
      <w:b w:val="0"/>
      <w:sz w:val="72"/>
      <w:szCs w:val="72"/>
      <w:lang w:val="en-NZ"/>
    </w:rPr>
  </w:style>
  <w:style w:type="character" w:customStyle="1" w:styleId="QuoteChar">
    <w:name w:val="Quote Char"/>
    <w:basedOn w:val="DefaultParagraphFont"/>
    <w:link w:val="Quote"/>
    <w:rsid w:val="00F95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4BB"/>
    <w:pPr>
      <w:pageBreakBefore/>
    </w:pPr>
  </w:style>
  <w:style w:type="paragraph" w:customStyle="1" w:styleId="Border">
    <w:name w:val="Border"/>
    <w:basedOn w:val="Normal"/>
    <w:qFormat/>
    <w:rsid w:val="00F95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4BB"/>
    <w:rPr>
      <w:b/>
      <w:bCs/>
      <w:i/>
      <w:iCs/>
      <w:color w:val="auto"/>
    </w:rPr>
  </w:style>
  <w:style w:type="paragraph" w:styleId="IntenseQuote">
    <w:name w:val="Intense Quote"/>
    <w:basedOn w:val="Normal"/>
    <w:next w:val="Normal"/>
    <w:link w:val="IntenseQuoteChar"/>
    <w:uiPriority w:val="30"/>
    <w:qFormat/>
    <w:rsid w:val="00F95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4BB"/>
    <w:rPr>
      <w:smallCaps/>
      <w:color w:val="auto"/>
      <w:u w:val="single"/>
    </w:rPr>
  </w:style>
  <w:style w:type="character" w:styleId="IntenseReference">
    <w:name w:val="Intense Reference"/>
    <w:basedOn w:val="DefaultParagraphFont"/>
    <w:uiPriority w:val="32"/>
    <w:qFormat/>
    <w:rsid w:val="00F954BB"/>
    <w:rPr>
      <w:b/>
      <w:bCs/>
      <w:smallCaps/>
      <w:color w:val="auto"/>
      <w:spacing w:val="5"/>
      <w:u w:val="single"/>
    </w:rPr>
  </w:style>
  <w:style w:type="paragraph" w:customStyle="1" w:styleId="2ColumnHeading">
    <w:name w:val="2Column Heading"/>
    <w:basedOn w:val="BodyText"/>
    <w:qFormat/>
    <w:rsid w:val="00F954BB"/>
    <w:pPr>
      <w:spacing w:after="60"/>
      <w:ind w:left="-2268"/>
    </w:pPr>
    <w:rPr>
      <w:b/>
    </w:rPr>
  </w:style>
  <w:style w:type="paragraph" w:customStyle="1" w:styleId="Heading1TOC">
    <w:name w:val="Heading1 TOC"/>
    <w:basedOn w:val="Normal"/>
    <w:qFormat/>
    <w:rsid w:val="00F954BB"/>
    <w:pPr>
      <w:spacing w:before="240" w:after="120"/>
    </w:pPr>
    <w:rPr>
      <w:rFonts w:ascii="Times New Roman" w:hAnsi="Times New Roman"/>
      <w:b/>
      <w:sz w:val="32"/>
    </w:rPr>
  </w:style>
  <w:style w:type="paragraph" w:customStyle="1" w:styleId="Heading2TOC">
    <w:name w:val="Heading2 TOC"/>
    <w:basedOn w:val="Normal"/>
    <w:qFormat/>
    <w:rsid w:val="00F954BB"/>
    <w:pPr>
      <w:spacing w:before="240" w:after="60"/>
    </w:pPr>
    <w:rPr>
      <w:rFonts w:ascii="Times New Roman" w:hAnsi="Times New Roman"/>
      <w:b/>
      <w:sz w:val="28"/>
    </w:rPr>
  </w:style>
  <w:style w:type="character" w:customStyle="1" w:styleId="Underline">
    <w:name w:val="Underline"/>
    <w:basedOn w:val="DefaultParagraphFont"/>
    <w:qFormat/>
    <w:rsid w:val="00F954BB"/>
    <w:rPr>
      <w:u w:val="single"/>
    </w:rPr>
  </w:style>
  <w:style w:type="character" w:customStyle="1" w:styleId="BoldandItalics">
    <w:name w:val="Bold and Italics"/>
    <w:qFormat/>
    <w:rsid w:val="00F954BB"/>
    <w:rPr>
      <w:b/>
      <w:i/>
      <w:u w:val="none"/>
    </w:rPr>
  </w:style>
  <w:style w:type="paragraph" w:styleId="BalloonText">
    <w:name w:val="Balloon Text"/>
    <w:basedOn w:val="Normal"/>
    <w:link w:val="BalloonTextChar"/>
    <w:rsid w:val="00F954BB"/>
    <w:rPr>
      <w:rFonts w:ascii="Tahoma" w:hAnsi="Tahoma" w:cs="Tahoma"/>
      <w:sz w:val="16"/>
      <w:szCs w:val="16"/>
    </w:rPr>
  </w:style>
  <w:style w:type="character" w:customStyle="1" w:styleId="BalloonTextChar">
    <w:name w:val="Balloon Text Char"/>
    <w:basedOn w:val="DefaultParagraphFont"/>
    <w:link w:val="BalloonText"/>
    <w:rsid w:val="00F95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4BB"/>
    <w:rPr>
      <w:b/>
      <w:color w:val="660033"/>
      <w:spacing w:val="0"/>
    </w:rPr>
  </w:style>
  <w:style w:type="paragraph" w:customStyle="1" w:styleId="Nameditemlist">
    <w:name w:val="Named item list"/>
    <w:basedOn w:val="BodyText"/>
    <w:qFormat/>
    <w:rsid w:val="00F954BB"/>
    <w:pPr>
      <w:tabs>
        <w:tab w:val="left" w:pos="2835"/>
      </w:tabs>
      <w:ind w:left="2835" w:hanging="2835"/>
    </w:pPr>
  </w:style>
  <w:style w:type="paragraph" w:customStyle="1" w:styleId="BodyTextnopadding">
    <w:name w:val="Body Text no padding"/>
    <w:basedOn w:val="BodyText"/>
    <w:qFormat/>
    <w:rsid w:val="00F954BB"/>
    <w:pPr>
      <w:spacing w:before="0" w:after="0"/>
    </w:pPr>
  </w:style>
  <w:style w:type="paragraph" w:customStyle="1" w:styleId="BodyTextBold">
    <w:name w:val="Body Text Bold"/>
    <w:basedOn w:val="BodyText"/>
    <w:qFormat/>
    <w:rsid w:val="00F954BB"/>
    <w:rPr>
      <w:b/>
    </w:rPr>
  </w:style>
  <w:style w:type="character" w:styleId="Hyperlink">
    <w:name w:val="Hyperlink"/>
    <w:basedOn w:val="DefaultParagraphFont"/>
    <w:uiPriority w:val="99"/>
    <w:unhideWhenUsed/>
    <w:rsid w:val="00D81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7348</Characters>
  <Application>Microsoft Office Word</Application>
  <DocSecurity>0</DocSecurity>
  <Lines>244</Lines>
  <Paragraphs>138</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TLIF5024 Develop plans for emergency response and recovery of rail networks</dc:title>
  <dc:subject>Approved</dc:subject>
  <dc:creator>Industry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