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C3037" w:rsidP="00FC303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TLIF5023 Undertake a derailment investigation</w:t>
      </w:r>
      <w:r>
        <w:fldChar w:fldCharType="end"/>
      </w:r>
    </w:p>
    <w:p w:rsidR="00FC3037" w:rsidP="00FC3037">
      <w:pPr>
        <w:pStyle w:val="Version"/>
        <w:sectPr w:rsidSect="003D6D7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D6D70" w:rsidP="003D6D70">
      <w:pPr>
        <w:pStyle w:val="SuperHeading"/>
      </w:pPr>
      <w:r w:rsidRPr="003D6D70">
        <w:t>TLIF5023 Undertake a derailment investigation</w:t>
      </w:r>
    </w:p>
    <w:p w:rsidR="00000000" w:rsidRPr="003D6D70" w:rsidP="003D6D70">
      <w:pPr>
        <w:pStyle w:val="Heading1"/>
      </w:pPr>
      <w:bookmarkStart w:id="1" w:name="O_752418"/>
      <w:bookmarkEnd w:id="1"/>
      <w:r w:rsidRPr="003D6D70">
        <w:t>Modification History</w:t>
      </w:r>
    </w:p>
    <w:p w:rsidR="00FC3037" w:rsidP="00FC3037">
      <w:pPr>
        <w:pStyle w:val="BodyText"/>
      </w:pPr>
      <w:r w:rsidRPr="003D6D70">
        <w:t>Release 1. This is the first release of this unit of competency in the TLI Transport and Logistics Training Package.</w:t>
      </w:r>
    </w:p>
    <w:p w:rsidR="00000000" w:rsidRPr="003D6D70" w:rsidP="003D6D70">
      <w:pPr>
        <w:pStyle w:val="Heading1"/>
      </w:pPr>
      <w:bookmarkStart w:id="2" w:name="O_752419"/>
      <w:bookmarkEnd w:id="2"/>
      <w:r w:rsidRPr="003D6D70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FC303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6D70" w:rsidP="003D6D70">
            <w:pPr>
              <w:pStyle w:val="BodyText"/>
            </w:pPr>
            <w:r w:rsidRPr="003D6D70">
              <w:t>This unit involves the skills and knowledge required to undertake a derailment i</w:t>
            </w:r>
            <w:r w:rsidRPr="003D6D70">
              <w:t>nvestigation in accordance with legislative and regulatory requirements.</w:t>
            </w:r>
          </w:p>
          <w:p w:rsidR="00000000" w:rsidRPr="003D6D70" w:rsidP="003D6D70">
            <w:pPr>
              <w:pStyle w:val="BodyText"/>
            </w:pPr>
            <w:r w:rsidRPr="003D6D70">
              <w:t>It includes preparing for a derailment investigation, determining potential contributory factors, planning for derailment investigation report requirements, and investigating a derail</w:t>
            </w:r>
            <w:r w:rsidRPr="003D6D70">
              <w:t>ment.</w:t>
            </w:r>
          </w:p>
          <w:p w:rsidR="00000000" w:rsidRPr="003D6D70" w:rsidP="003D6D70">
            <w:pPr>
              <w:pStyle w:val="BodyText"/>
            </w:pPr>
            <w:r w:rsidRPr="003D6D70">
              <w:t>This unit applies to people with the responsibility for rail operations management.</w:t>
            </w:r>
          </w:p>
          <w:p w:rsidR="00000000" w:rsidRPr="003D6D70" w:rsidP="003D6D70">
            <w:pPr>
              <w:pStyle w:val="BodyText"/>
            </w:pPr>
            <w:r w:rsidRPr="003D6D70">
              <w:t>No licensing, legislative or certification requirements apply to this unit at the time of publication.</w:t>
            </w:r>
          </w:p>
        </w:tc>
      </w:tr>
    </w:tbl>
    <w:p w:rsidR="00000000" w:rsidRPr="003D6D70" w:rsidP="003D6D70">
      <w:pPr>
        <w:pStyle w:val="BodyText"/>
      </w:pPr>
    </w:p>
    <w:p w:rsidR="00000000" w:rsidRPr="003D6D70" w:rsidP="003D6D70">
      <w:pPr>
        <w:pStyle w:val="AllowPageBreak"/>
      </w:pPr>
    </w:p>
    <w:p w:rsidR="00000000" w:rsidRPr="003D6D70" w:rsidP="003D6D70">
      <w:pPr>
        <w:pStyle w:val="Heading1"/>
      </w:pPr>
      <w:bookmarkStart w:id="3" w:name="O_752420"/>
      <w:bookmarkEnd w:id="3"/>
      <w:r w:rsidRPr="003D6D70">
        <w:t>Pre-requisite Unit</w:t>
      </w:r>
    </w:p>
    <w:p w:rsidR="00FC3037" w:rsidP="00FC3037">
      <w:pPr>
        <w:pStyle w:val="BodyText"/>
      </w:pPr>
      <w:r w:rsidRPr="003D6D70">
        <w:t>Not applicable.</w:t>
      </w:r>
    </w:p>
    <w:p w:rsidR="00000000" w:rsidRPr="003D6D70" w:rsidP="003D6D70">
      <w:pPr>
        <w:pStyle w:val="Heading1"/>
      </w:pPr>
      <w:bookmarkStart w:id="4" w:name="O_752421"/>
      <w:bookmarkEnd w:id="4"/>
      <w:r w:rsidRPr="003D6D70">
        <w:t>Competency Field</w:t>
      </w:r>
    </w:p>
    <w:p w:rsidR="00FC3037" w:rsidP="00FC3037">
      <w:pPr>
        <w:pStyle w:val="BodyText"/>
      </w:pPr>
      <w:r w:rsidRPr="003D6D70">
        <w:t>F – Safety Management</w:t>
      </w:r>
    </w:p>
    <w:p w:rsidR="00000000" w:rsidRPr="003D6D70" w:rsidP="003D6D70">
      <w:pPr>
        <w:pStyle w:val="Heading1"/>
      </w:pPr>
      <w:bookmarkStart w:id="5" w:name="O_752422"/>
      <w:bookmarkEnd w:id="5"/>
      <w:r w:rsidRPr="003D6D70">
        <w:t>Unit Sector</w:t>
      </w:r>
    </w:p>
    <w:p w:rsidR="00FC3037" w:rsidP="00FC3037">
      <w:pPr>
        <w:pStyle w:val="BodyText"/>
      </w:pPr>
      <w:r w:rsidRPr="003D6D70">
        <w:t>Not applicable.</w:t>
      </w:r>
    </w:p>
    <w:p w:rsidR="00000000" w:rsidRPr="003D6D70" w:rsidP="003D6D70">
      <w:pPr>
        <w:pStyle w:val="Heading1"/>
      </w:pPr>
      <w:bookmarkStart w:id="6" w:name="O_752423"/>
      <w:bookmarkEnd w:id="6"/>
      <w:r w:rsidRPr="003D6D70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2"/>
        <w:gridCol w:w="1769"/>
        <w:gridCol w:w="552"/>
        <w:gridCol w:w="6543"/>
      </w:tblGrid>
      <w:tr w:rsidTr="00FC303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D70">
            <w:pPr>
              <w:pStyle w:val="BodyText"/>
              <w:rPr>
                <w:lang w:val="en-NZ"/>
              </w:rPr>
            </w:pPr>
            <w:r w:rsidRPr="003D6D70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D70">
            <w:pPr>
              <w:pStyle w:val="BodyText"/>
              <w:rPr>
                <w:lang w:val="en-NZ"/>
              </w:rPr>
            </w:pPr>
            <w:r w:rsidRPr="003D6D70">
              <w:t>Performance criteria descr</w:t>
            </w:r>
            <w:r w:rsidRPr="003D6D70">
              <w:t>ibe the performance needed to demonstrate achievement of the element.</w:t>
            </w:r>
          </w:p>
        </w:tc>
      </w:tr>
      <w:tr w:rsidTr="00FC303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6D70" w:rsidP="003D6D70">
            <w:pPr>
              <w:pStyle w:val="BodyText"/>
            </w:pPr>
            <w:r w:rsidRPr="003D6D70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D70">
            <w:pPr>
              <w:pStyle w:val="BodyText"/>
              <w:rPr>
                <w:lang w:val="en-NZ"/>
              </w:rPr>
            </w:pPr>
            <w:r w:rsidRPr="003D6D70">
              <w:rPr>
                <w:rStyle w:val="SpecialBold"/>
              </w:rPr>
              <w:t xml:space="preserve">Prepare for derailment </w:t>
            </w:r>
            <w:r w:rsidRPr="003D6D70">
              <w:rPr>
                <w:rStyle w:val="SpecialBold"/>
              </w:rPr>
              <w:t>investigation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D70">
            <w:pPr>
              <w:pStyle w:val="BodyText"/>
              <w:rPr>
                <w:lang w:val="en-NZ"/>
              </w:rPr>
            </w:pPr>
            <w:r w:rsidRPr="003D6D70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D70">
            <w:pPr>
              <w:pStyle w:val="BodyText"/>
              <w:rPr>
                <w:lang w:val="en-NZ"/>
              </w:rPr>
            </w:pPr>
            <w:r w:rsidRPr="003D6D70">
              <w:t>Derailment investigation definitions are identified and explained</w:t>
            </w:r>
          </w:p>
        </w:tc>
      </w:tr>
      <w:tr w:rsidTr="00FC303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D70">
            <w:pPr>
              <w:pStyle w:val="BodyText"/>
              <w:rPr>
                <w:lang w:val="en-NZ"/>
              </w:rPr>
            </w:pPr>
            <w:r w:rsidRPr="003D6D70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D70">
            <w:pPr>
              <w:pStyle w:val="BodyText"/>
              <w:rPr>
                <w:lang w:val="en-NZ"/>
              </w:rPr>
            </w:pPr>
            <w:r w:rsidRPr="003D6D70">
              <w:t xml:space="preserve">Principles of systematic investigation to be employed in derailment investigation are </w:t>
            </w:r>
            <w:r w:rsidRPr="003D6D70">
              <w:t>identified and followed</w:t>
            </w:r>
          </w:p>
        </w:tc>
      </w:tr>
      <w:tr w:rsidTr="00FC303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D70">
            <w:pPr>
              <w:pStyle w:val="BodyText"/>
              <w:rPr>
                <w:lang w:val="en-NZ"/>
              </w:rPr>
            </w:pPr>
            <w:r w:rsidRPr="003D6D70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D70">
            <w:pPr>
              <w:pStyle w:val="BodyText"/>
              <w:rPr>
                <w:lang w:val="en-NZ"/>
              </w:rPr>
            </w:pPr>
            <w:r w:rsidRPr="003D6D70">
              <w:t>Purpose and objectives of derailment investigation are identified and documented in accordance with organisational and regulatory requireme</w:t>
            </w:r>
            <w:r w:rsidRPr="003D6D70">
              <w:t>nts</w:t>
            </w:r>
          </w:p>
        </w:tc>
      </w:tr>
      <w:tr w:rsidTr="00FC303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D70">
            <w:pPr>
              <w:pStyle w:val="BodyText"/>
              <w:rPr>
                <w:lang w:val="en-NZ"/>
              </w:rPr>
            </w:pPr>
            <w:r w:rsidRPr="003D6D70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D70">
            <w:pPr>
              <w:pStyle w:val="BodyText"/>
              <w:rPr>
                <w:lang w:val="en-NZ"/>
              </w:rPr>
            </w:pPr>
            <w:r w:rsidRPr="003D6D70">
              <w:t>Types of data to be collected to conduct derailment investigation are identified and documented</w:t>
            </w:r>
          </w:p>
        </w:tc>
      </w:tr>
      <w:tr w:rsidTr="00FC303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D70">
            <w:pPr>
              <w:pStyle w:val="BodyText"/>
              <w:rPr>
                <w:lang w:val="en-NZ"/>
              </w:rPr>
            </w:pPr>
            <w:r w:rsidRPr="003D6D70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D70">
            <w:pPr>
              <w:pStyle w:val="BodyText"/>
              <w:rPr>
                <w:lang w:val="en-NZ"/>
              </w:rPr>
            </w:pPr>
            <w:r w:rsidRPr="003D6D70">
              <w:t>Types of evidence to be collected during derailment investigation are identified and documented</w:t>
            </w:r>
          </w:p>
        </w:tc>
      </w:tr>
      <w:tr w:rsidTr="00FC303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6D70" w:rsidP="003D6D70">
            <w:pPr>
              <w:pStyle w:val="BodyText"/>
            </w:pPr>
            <w:r w:rsidRPr="003D6D70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D70">
            <w:pPr>
              <w:pStyle w:val="BodyText"/>
              <w:rPr>
                <w:lang w:val="en-NZ"/>
              </w:rPr>
            </w:pPr>
            <w:r w:rsidRPr="003D6D70">
              <w:rPr>
                <w:rStyle w:val="SpecialBold"/>
              </w:rPr>
              <w:t>Determine potential contributory components of the rail system to the derailment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D70">
            <w:pPr>
              <w:pStyle w:val="BodyText"/>
              <w:rPr>
                <w:lang w:val="en-NZ"/>
              </w:rPr>
            </w:pPr>
            <w:r w:rsidRPr="003D6D70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D70">
            <w:pPr>
              <w:pStyle w:val="BodyText"/>
              <w:rPr>
                <w:lang w:val="en-NZ"/>
              </w:rPr>
            </w:pPr>
            <w:r w:rsidRPr="003D6D70">
              <w:t>Track structure and track components that may have contributed to derailment are identified in accordance with organisational and regulatory requirements</w:t>
            </w:r>
          </w:p>
        </w:tc>
      </w:tr>
      <w:tr w:rsidTr="00FC303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D70">
            <w:pPr>
              <w:pStyle w:val="BodyText"/>
              <w:rPr>
                <w:lang w:val="en-NZ"/>
              </w:rPr>
            </w:pPr>
            <w:r w:rsidRPr="003D6D70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D70">
            <w:pPr>
              <w:pStyle w:val="BodyText"/>
              <w:rPr>
                <w:lang w:val="en-NZ"/>
              </w:rPr>
            </w:pPr>
            <w:r w:rsidRPr="003D6D70">
              <w:t>Rolling st</w:t>
            </w:r>
            <w:r w:rsidRPr="003D6D70">
              <w:t>ock involved in derailment is identified in accordance with organisational and regulatory requirements</w:t>
            </w:r>
          </w:p>
        </w:tc>
      </w:tr>
      <w:tr w:rsidTr="00FC303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D70">
            <w:pPr>
              <w:pStyle w:val="BodyText"/>
              <w:rPr>
                <w:lang w:val="en-NZ"/>
              </w:rPr>
            </w:pPr>
            <w:r w:rsidRPr="003D6D70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D70">
            <w:pPr>
              <w:pStyle w:val="BodyText"/>
              <w:rPr>
                <w:lang w:val="en-NZ"/>
              </w:rPr>
            </w:pPr>
            <w:r w:rsidRPr="003D6D70">
              <w:t>Normal operation of rolling stock at derailment site is outlined in accordance with organisational and regulatory requirements</w:t>
            </w:r>
          </w:p>
        </w:tc>
      </w:tr>
      <w:tr w:rsidTr="00FC303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D70">
            <w:pPr>
              <w:pStyle w:val="BodyText"/>
              <w:rPr>
                <w:lang w:val="en-NZ"/>
              </w:rPr>
            </w:pPr>
            <w:r w:rsidRPr="003D6D70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D70">
            <w:pPr>
              <w:pStyle w:val="BodyText"/>
              <w:rPr>
                <w:lang w:val="en-NZ"/>
              </w:rPr>
            </w:pPr>
            <w:r w:rsidRPr="003D6D70">
              <w:t>Safeworking systems in operation at derailment site are explained</w:t>
            </w:r>
          </w:p>
        </w:tc>
      </w:tr>
      <w:tr w:rsidTr="00FC303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6D70" w:rsidP="003D6D70">
            <w:pPr>
              <w:pStyle w:val="BodyText"/>
            </w:pPr>
            <w:r w:rsidRPr="003D6D70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D70">
            <w:pPr>
              <w:pStyle w:val="BodyText"/>
              <w:rPr>
                <w:lang w:val="en-NZ"/>
              </w:rPr>
            </w:pPr>
            <w:r w:rsidRPr="003D6D70">
              <w:rPr>
                <w:rStyle w:val="SpecialBold"/>
              </w:rPr>
              <w:t>Plan for derailment investigation report requirements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D70">
            <w:pPr>
              <w:pStyle w:val="BodyText"/>
              <w:rPr>
                <w:lang w:val="en-NZ"/>
              </w:rPr>
            </w:pPr>
            <w:r w:rsidRPr="003D6D70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D70">
            <w:pPr>
              <w:pStyle w:val="BodyText"/>
              <w:rPr>
                <w:lang w:val="en-NZ"/>
              </w:rPr>
            </w:pPr>
            <w:r w:rsidRPr="003D6D70">
              <w:t>Methods by which evidence will be gathered are outlined</w:t>
            </w:r>
          </w:p>
        </w:tc>
      </w:tr>
      <w:tr w:rsidTr="00FC303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D70">
            <w:pPr>
              <w:pStyle w:val="BodyText"/>
              <w:rPr>
                <w:lang w:val="en-NZ"/>
              </w:rPr>
            </w:pPr>
            <w:r w:rsidRPr="003D6D70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D70">
            <w:pPr>
              <w:pStyle w:val="BodyText"/>
              <w:rPr>
                <w:lang w:val="en-NZ"/>
              </w:rPr>
            </w:pPr>
            <w:r w:rsidRPr="003D6D70">
              <w:t>Appropriate report structure is determined</w:t>
            </w:r>
          </w:p>
        </w:tc>
      </w:tr>
      <w:tr w:rsidTr="00FC303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D70">
            <w:pPr>
              <w:pStyle w:val="BodyText"/>
              <w:rPr>
                <w:lang w:val="en-NZ"/>
              </w:rPr>
            </w:pPr>
            <w:r w:rsidRPr="003D6D70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D70">
            <w:pPr>
              <w:pStyle w:val="BodyText"/>
              <w:rPr>
                <w:lang w:val="en-NZ"/>
              </w:rPr>
            </w:pPr>
            <w:r w:rsidRPr="003D6D70">
              <w:t>Timelines for conducting investigation and producing report are established</w:t>
            </w:r>
          </w:p>
        </w:tc>
      </w:tr>
      <w:tr w:rsidTr="00FC303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D70">
            <w:pPr>
              <w:pStyle w:val="BodyText"/>
              <w:rPr>
                <w:lang w:val="en-NZ"/>
              </w:rPr>
            </w:pPr>
            <w:r w:rsidRPr="003D6D70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D70">
            <w:pPr>
              <w:pStyle w:val="BodyText"/>
              <w:rPr>
                <w:lang w:val="en-NZ"/>
              </w:rPr>
            </w:pPr>
            <w:r w:rsidRPr="003D6D70">
              <w:t>Equipment required to conduct derailment investigation is identified and accessed</w:t>
            </w:r>
          </w:p>
        </w:tc>
      </w:tr>
      <w:tr w:rsidTr="00FC303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6D70" w:rsidP="003D6D70">
            <w:pPr>
              <w:pStyle w:val="BodyText"/>
            </w:pPr>
            <w:r w:rsidRPr="003D6D70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D70">
            <w:pPr>
              <w:pStyle w:val="BodyText"/>
              <w:rPr>
                <w:lang w:val="en-NZ"/>
              </w:rPr>
            </w:pPr>
            <w:r w:rsidRPr="003D6D70">
              <w:rPr>
                <w:rStyle w:val="SpecialBold"/>
              </w:rPr>
              <w:t>Investigate derailment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D70">
            <w:pPr>
              <w:pStyle w:val="BodyText"/>
              <w:rPr>
                <w:lang w:val="en-NZ"/>
              </w:rPr>
            </w:pPr>
            <w:r w:rsidRPr="003D6D70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D70">
            <w:pPr>
              <w:pStyle w:val="BodyText"/>
              <w:rPr>
                <w:lang w:val="en-NZ"/>
              </w:rPr>
            </w:pPr>
            <w:r w:rsidRPr="003D6D70">
              <w:t>Resources required to undertaken rail derailment investigation are acquired</w:t>
            </w:r>
          </w:p>
        </w:tc>
      </w:tr>
      <w:tr w:rsidTr="00FC303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D70">
            <w:pPr>
              <w:pStyle w:val="BodyText"/>
              <w:rPr>
                <w:lang w:val="en-NZ"/>
              </w:rPr>
            </w:pPr>
            <w:r w:rsidRPr="003D6D70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D70">
            <w:pPr>
              <w:pStyle w:val="BodyText"/>
              <w:rPr>
                <w:lang w:val="en-NZ"/>
              </w:rPr>
            </w:pPr>
            <w:r w:rsidRPr="003D6D70">
              <w:t>Hazards are identified, risks are assessed and control measures are implemented</w:t>
            </w:r>
          </w:p>
        </w:tc>
      </w:tr>
      <w:tr w:rsidTr="00FC303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D70">
            <w:pPr>
              <w:pStyle w:val="BodyText"/>
              <w:rPr>
                <w:lang w:val="en-NZ"/>
              </w:rPr>
            </w:pPr>
            <w:r w:rsidRPr="003D6D70"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D70">
            <w:pPr>
              <w:pStyle w:val="BodyText"/>
              <w:rPr>
                <w:lang w:val="en-NZ"/>
              </w:rPr>
            </w:pPr>
            <w:r w:rsidRPr="003D6D70">
              <w:t>Evidence is gathered in accordance with identified methods and required timelines</w:t>
            </w:r>
          </w:p>
        </w:tc>
      </w:tr>
      <w:tr w:rsidTr="00FC303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D70">
            <w:pPr>
              <w:pStyle w:val="BodyText"/>
              <w:rPr>
                <w:lang w:val="en-NZ"/>
              </w:rPr>
            </w:pPr>
            <w:r w:rsidRPr="003D6D70">
              <w:t>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D70">
            <w:pPr>
              <w:pStyle w:val="BodyText"/>
              <w:rPr>
                <w:lang w:val="en-NZ"/>
              </w:rPr>
            </w:pPr>
            <w:r w:rsidRPr="003D6D70">
              <w:t>Rail derailment investigation report is drafted, reviewed and finalised in accordance with organisational and regulatory requirements</w:t>
            </w:r>
          </w:p>
        </w:tc>
      </w:tr>
      <w:tr w:rsidTr="00FC303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D70">
            <w:pPr>
              <w:pStyle w:val="BodyText"/>
              <w:rPr>
                <w:lang w:val="en-NZ"/>
              </w:rPr>
            </w:pPr>
            <w:r w:rsidRPr="003D6D70">
              <w:t>4.5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6D70" w:rsidP="003D6D70">
            <w:pPr>
              <w:pStyle w:val="BodyText"/>
            </w:pPr>
            <w:r w:rsidRPr="003D6D70">
              <w:t>Rail derailment investigation report is completed and submitted in accordance with organisational and regulator</w:t>
            </w:r>
            <w:r w:rsidRPr="003D6D70">
              <w:t>y requirements</w:t>
            </w:r>
          </w:p>
        </w:tc>
      </w:tr>
    </w:tbl>
    <w:p w:rsidR="00FC3037" w:rsidP="003D6D70">
      <w:pPr>
        <w:pStyle w:val="BodyText"/>
      </w:pPr>
    </w:p>
    <w:p w:rsidR="00FC3037" w:rsidP="003D6D70">
      <w:pPr>
        <w:pStyle w:val="BodyText"/>
      </w:pPr>
    </w:p>
    <w:p w:rsidR="00000000" w:rsidRPr="003D6D70" w:rsidP="003D6D70">
      <w:pPr>
        <w:pStyle w:val="Heading1"/>
      </w:pPr>
      <w:bookmarkStart w:id="7" w:name="O_752424"/>
      <w:bookmarkEnd w:id="7"/>
      <w:r w:rsidRPr="003D6D70">
        <w:t>Foundation Skills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3D6D7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6D70" w:rsidP="003D6D70">
            <w:pPr>
              <w:pStyle w:val="BodyText"/>
            </w:pPr>
            <w:r w:rsidRPr="003D6D70">
              <w:t>Foundation skills essential to performance are explicit in the performance criteria of this unit of competency.</w:t>
            </w:r>
          </w:p>
        </w:tc>
      </w:tr>
    </w:tbl>
    <w:p w:rsidR="00FC3037" w:rsidP="003D6D70">
      <w:pPr>
        <w:pStyle w:val="BodyText"/>
      </w:pPr>
    </w:p>
    <w:p w:rsidR="00FC3037" w:rsidP="003D6D70">
      <w:pPr>
        <w:pStyle w:val="BodyText"/>
      </w:pPr>
    </w:p>
    <w:p w:rsidR="00000000" w:rsidRPr="003D6D70" w:rsidP="003D6D70">
      <w:pPr>
        <w:pStyle w:val="Heading1"/>
      </w:pPr>
      <w:bookmarkStart w:id="8" w:name="O_752425"/>
      <w:bookmarkEnd w:id="8"/>
      <w:r w:rsidRPr="003D6D70">
        <w:t>Range of Conditions</w:t>
      </w:r>
    </w:p>
    <w:p w:rsidR="00000000" w:rsidRPr="003D6D70" w:rsidP="00FC3037">
      <w:pPr>
        <w:pStyle w:val="BodyText"/>
      </w:pPr>
      <w:r w:rsidRPr="003D6D70">
        <w:t>Range is restricted to essential operating conditions and any other variables essential to the work environment.</w:t>
      </w:r>
    </w:p>
    <w:p w:rsidR="00FC3037" w:rsidP="00FC3037">
      <w:pPr>
        <w:pStyle w:val="BodyText"/>
      </w:pPr>
      <w:r w:rsidRPr="003D6D70">
        <w:t>Non-essential conditions can be found in the Companion Volume Implementation Guide.</w:t>
      </w:r>
    </w:p>
    <w:p w:rsidR="00000000" w:rsidRPr="003D6D70" w:rsidP="003D6D70">
      <w:pPr>
        <w:pStyle w:val="Heading1"/>
      </w:pPr>
      <w:bookmarkStart w:id="9" w:name="O_752426"/>
      <w:bookmarkEnd w:id="9"/>
      <w:r w:rsidRPr="003D6D70">
        <w:t>Unit Mapping Information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3D6D7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6D70" w:rsidP="003D6D70">
            <w:pPr>
              <w:pStyle w:val="BodyText"/>
            </w:pPr>
            <w:r w:rsidRPr="003D6D70">
              <w:t>This unit replac</w:t>
            </w:r>
            <w:r w:rsidRPr="003D6D70">
              <w:t>es and is equivalent to TLIF5023A Undertake a derailment investigation.</w:t>
            </w:r>
          </w:p>
        </w:tc>
      </w:tr>
    </w:tbl>
    <w:p w:rsidR="00FC3037" w:rsidP="003D6D70">
      <w:pPr>
        <w:pStyle w:val="BodyText"/>
      </w:pPr>
    </w:p>
    <w:p w:rsidR="00FC3037" w:rsidP="003D6D70">
      <w:pPr>
        <w:pStyle w:val="BodyText"/>
      </w:pPr>
    </w:p>
    <w:p w:rsidR="00000000" w:rsidRPr="003D6D70" w:rsidP="003D6D70">
      <w:pPr>
        <w:pStyle w:val="Heading1"/>
      </w:pPr>
      <w:bookmarkStart w:id="10" w:name="O_752433"/>
      <w:bookmarkEnd w:id="10"/>
      <w:r w:rsidRPr="003D6D70">
        <w:t>Links</w:t>
      </w:r>
    </w:p>
    <w:p w:rsidR="00000000" w:rsidRPr="003D6D70" w:rsidP="00FC3037">
      <w:pPr>
        <w:pStyle w:val="BodyText"/>
      </w:pPr>
      <w:r w:rsidRPr="003D6D7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89613E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3D6D70" w:rsidP="003D6D70"/>
    <w:sectPr w:rsidSect="003D6D7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6D7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6D70" w:rsidRPr="00FC3037" w:rsidP="00FC303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6D7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037" w:rsidP="003D6D7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C3037" w:rsidP="003D6D7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FC3037" w:rsidP="003D6D7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6D7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03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D6D70" w:rsidRPr="00FC3037" w:rsidP="00FC303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6D7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037" w:rsidRPr="002D2AF8" w:rsidP="003D6D7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TLIF5023 Undertake a derailment investigation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FC3037" w:rsidP="003D6D7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6D7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D6D7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D6D7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D6D7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D6D7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D6D7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D6D7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D6D7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D6D7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D6D7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D6D7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D6D70"/>
  </w:style>
  <w:style w:type="character" w:customStyle="1" w:styleId="Heading1Char">
    <w:name w:val="Heading 1 Char"/>
    <w:basedOn w:val="DefaultParagraphFont"/>
    <w:link w:val="Heading1"/>
    <w:rsid w:val="003D6D7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D6D7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D6D7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D6D70"/>
    <w:rPr>
      <w:b/>
      <w:spacing w:val="0"/>
    </w:rPr>
  </w:style>
  <w:style w:type="paragraph" w:customStyle="1" w:styleId="SuperHeading">
    <w:name w:val="SuperHeading"/>
    <w:basedOn w:val="Normal"/>
    <w:rsid w:val="003D6D7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D6D7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D6D7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D6D7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D6D7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D6D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D6D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D6D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D6D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D6D7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D6D7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D6D7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D6D7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D6D7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D6D7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D6D7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D6D7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D6D7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D6D7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D6D7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D6D7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D6D7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D6D7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D6D7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D6D7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D6D7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D6D7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D6D7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D6D7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D6D7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D6D7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D6D7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D6D7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D6D7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D6D7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D6D7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D6D70"/>
    <w:rPr>
      <w:i/>
    </w:rPr>
  </w:style>
  <w:style w:type="paragraph" w:styleId="Caption">
    <w:name w:val="caption"/>
    <w:basedOn w:val="BodyText"/>
    <w:next w:val="Normal"/>
    <w:qFormat/>
    <w:rsid w:val="003D6D7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D6D7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D6D7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D6D70"/>
  </w:style>
  <w:style w:type="paragraph" w:styleId="TableofFigures">
    <w:name w:val="table of figures"/>
    <w:basedOn w:val="Normal"/>
    <w:next w:val="Normal"/>
    <w:semiHidden/>
    <w:rsid w:val="003D6D7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D6D7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D6D70"/>
    <w:rPr>
      <w:rFonts w:ascii="Wingdings" w:hAnsi="Wingdings"/>
    </w:rPr>
  </w:style>
  <w:style w:type="paragraph" w:customStyle="1" w:styleId="TableHeading">
    <w:name w:val="Table Heading"/>
    <w:basedOn w:val="HeadingBase"/>
    <w:rsid w:val="003D6D7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D6D70"/>
    <w:rPr>
      <w:color w:val="0033CC"/>
      <w:u w:val="none"/>
    </w:rPr>
  </w:style>
  <w:style w:type="paragraph" w:customStyle="1" w:styleId="BodyTextRight">
    <w:name w:val="Body Text Right"/>
    <w:basedOn w:val="BodyText"/>
    <w:rsid w:val="003D6D7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D6D7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D6D7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D6D7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D6D7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D6D7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D6D70"/>
    <w:rPr>
      <w:sz w:val="32"/>
    </w:rPr>
  </w:style>
  <w:style w:type="paragraph" w:customStyle="1" w:styleId="HeadingProcedure">
    <w:name w:val="Heading Procedure"/>
    <w:basedOn w:val="HeadingBase"/>
    <w:next w:val="Normal"/>
    <w:rsid w:val="003D6D7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D6D70"/>
    <w:pPr>
      <w:spacing w:before="60" w:after="60"/>
    </w:pPr>
  </w:style>
  <w:style w:type="paragraph" w:styleId="ListContinue">
    <w:name w:val="List Continue"/>
    <w:basedOn w:val="List"/>
    <w:rsid w:val="003D6D70"/>
    <w:pPr>
      <w:ind w:firstLine="0"/>
    </w:pPr>
  </w:style>
  <w:style w:type="paragraph" w:customStyle="1" w:styleId="ListNote">
    <w:name w:val="List Note"/>
    <w:basedOn w:val="List"/>
    <w:rsid w:val="003D6D7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D6D7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D6D7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D6D70"/>
    <w:rPr>
      <w:rFonts w:ascii="Courier New" w:hAnsi="Courier New"/>
    </w:rPr>
  </w:style>
  <w:style w:type="paragraph" w:customStyle="1" w:styleId="NoteBullet">
    <w:name w:val="Note Bullet"/>
    <w:basedOn w:val="Note"/>
    <w:rsid w:val="003D6D7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D6D7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D6D7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D6D7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D6D7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D6D7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D6D7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D6D70"/>
    <w:rPr>
      <w:b/>
      <w:smallCaps/>
    </w:rPr>
  </w:style>
  <w:style w:type="paragraph" w:customStyle="1" w:styleId="TableListNumber">
    <w:name w:val="Table List Number"/>
    <w:basedOn w:val="ListNumber"/>
    <w:rsid w:val="003D6D7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D6D7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D6D70"/>
    <w:pPr>
      <w:numPr>
        <w:numId w:val="7"/>
      </w:numPr>
    </w:pPr>
  </w:style>
  <w:style w:type="paragraph" w:customStyle="1" w:styleId="ListAlpha2">
    <w:name w:val="List Alpha 2"/>
    <w:basedOn w:val="List2"/>
    <w:rsid w:val="003D6D70"/>
    <w:pPr>
      <w:numPr>
        <w:numId w:val="6"/>
      </w:numPr>
    </w:pPr>
  </w:style>
  <w:style w:type="paragraph" w:styleId="List2">
    <w:name w:val="List 2"/>
    <w:basedOn w:val="BodyText"/>
    <w:rsid w:val="003D6D7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D6D7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D6D7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D6D7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D6D7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D6D7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D6D70"/>
    <w:pPr>
      <w:numPr>
        <w:numId w:val="2"/>
      </w:numPr>
    </w:pPr>
  </w:style>
  <w:style w:type="paragraph" w:styleId="ListContinue2">
    <w:name w:val="List Continue 2"/>
    <w:basedOn w:val="List2"/>
    <w:rsid w:val="003D6D70"/>
    <w:pPr>
      <w:ind w:firstLine="0"/>
    </w:pPr>
  </w:style>
  <w:style w:type="paragraph" w:styleId="ListContinue3">
    <w:name w:val="List Continue 3"/>
    <w:basedOn w:val="List3"/>
    <w:rsid w:val="003D6D70"/>
    <w:pPr>
      <w:ind w:left="1021" w:firstLine="0"/>
    </w:pPr>
  </w:style>
  <w:style w:type="paragraph" w:styleId="ListContinue4">
    <w:name w:val="List Continue 4"/>
    <w:basedOn w:val="List4"/>
    <w:rsid w:val="003D6D70"/>
    <w:pPr>
      <w:ind w:firstLine="0"/>
    </w:pPr>
  </w:style>
  <w:style w:type="paragraph" w:styleId="ListContinue5">
    <w:name w:val="List Continue 5"/>
    <w:basedOn w:val="List5"/>
    <w:rsid w:val="003D6D70"/>
    <w:pPr>
      <w:ind w:firstLine="0"/>
    </w:pPr>
  </w:style>
  <w:style w:type="paragraph" w:styleId="ListNumber3">
    <w:name w:val="List Number 3"/>
    <w:basedOn w:val="List3"/>
    <w:rsid w:val="003D6D70"/>
    <w:pPr>
      <w:numPr>
        <w:numId w:val="3"/>
      </w:numPr>
    </w:pPr>
  </w:style>
  <w:style w:type="paragraph" w:styleId="ListNumber4">
    <w:name w:val="List Number 4"/>
    <w:basedOn w:val="List4"/>
    <w:rsid w:val="003D6D70"/>
    <w:pPr>
      <w:numPr>
        <w:numId w:val="4"/>
      </w:numPr>
    </w:pPr>
  </w:style>
  <w:style w:type="paragraph" w:styleId="ListNumber5">
    <w:name w:val="List Number 5"/>
    <w:basedOn w:val="List5"/>
    <w:rsid w:val="003D6D70"/>
    <w:pPr>
      <w:numPr>
        <w:numId w:val="5"/>
      </w:numPr>
    </w:pPr>
  </w:style>
  <w:style w:type="paragraph" w:styleId="BlockText">
    <w:name w:val="Block Text"/>
    <w:basedOn w:val="Normal"/>
    <w:rsid w:val="003D6D7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D6D7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D6D70"/>
    <w:rPr>
      <w:sz w:val="16"/>
      <w:vertAlign w:val="superscript"/>
    </w:rPr>
  </w:style>
  <w:style w:type="character" w:customStyle="1" w:styleId="Symbols">
    <w:name w:val="Symbols"/>
    <w:basedOn w:val="DefaultParagraphFont"/>
    <w:rsid w:val="003D6D70"/>
    <w:rPr>
      <w:rFonts w:ascii="Symbol" w:hAnsi="Symbol"/>
    </w:rPr>
  </w:style>
  <w:style w:type="character" w:customStyle="1" w:styleId="MenuOptions">
    <w:name w:val="Menu Options"/>
    <w:basedOn w:val="DefaultParagraphFont"/>
    <w:rsid w:val="003D6D7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D6D70"/>
    <w:rPr>
      <w:b/>
    </w:rPr>
  </w:style>
  <w:style w:type="character" w:customStyle="1" w:styleId="Underlined">
    <w:name w:val="Underlined"/>
    <w:basedOn w:val="DefaultParagraphFont"/>
    <w:rsid w:val="003D6D70"/>
    <w:rPr>
      <w:u w:val="single"/>
    </w:rPr>
  </w:style>
  <w:style w:type="paragraph" w:customStyle="1" w:styleId="TableBodyTextRight">
    <w:name w:val="Table Body Text Right"/>
    <w:basedOn w:val="TableBodyText"/>
    <w:rsid w:val="003D6D7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D6D70"/>
    <w:rPr>
      <w:sz w:val="18"/>
    </w:rPr>
  </w:style>
  <w:style w:type="paragraph" w:customStyle="1" w:styleId="BodySmallRight">
    <w:name w:val="Body Small Right"/>
    <w:basedOn w:val="BodyTextRight"/>
    <w:rsid w:val="003D6D70"/>
    <w:rPr>
      <w:sz w:val="18"/>
      <w:szCs w:val="18"/>
    </w:rPr>
  </w:style>
  <w:style w:type="paragraph" w:customStyle="1" w:styleId="MarginEdition">
    <w:name w:val="Margin Edition"/>
    <w:basedOn w:val="MarginNote"/>
    <w:rsid w:val="003D6D7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D6D70"/>
    <w:rPr>
      <w:sz w:val="2"/>
      <w:szCs w:val="2"/>
    </w:rPr>
  </w:style>
  <w:style w:type="character" w:customStyle="1" w:styleId="Small">
    <w:name w:val="Small"/>
    <w:basedOn w:val="DefaultParagraphFont"/>
    <w:rsid w:val="003D6D70"/>
    <w:rPr>
      <w:sz w:val="16"/>
    </w:rPr>
  </w:style>
  <w:style w:type="paragraph" w:customStyle="1" w:styleId="WideTable">
    <w:name w:val="Wide Table"/>
    <w:basedOn w:val="Normal"/>
    <w:rsid w:val="003D6D7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D6D70"/>
  </w:style>
  <w:style w:type="paragraph" w:styleId="Quote">
    <w:name w:val="Quote"/>
    <w:basedOn w:val="Heading1"/>
    <w:link w:val="QuoteChar"/>
    <w:qFormat/>
    <w:rsid w:val="003D6D7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D6D7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D6D70"/>
    <w:pPr>
      <w:pageBreakBefore/>
    </w:pPr>
  </w:style>
  <w:style w:type="paragraph" w:customStyle="1" w:styleId="Border">
    <w:name w:val="Border"/>
    <w:basedOn w:val="Normal"/>
    <w:qFormat/>
    <w:rsid w:val="003D6D7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D6D7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6D7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6D7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D6D7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D6D7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D6D7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D6D7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D6D7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D6D70"/>
    <w:rPr>
      <w:u w:val="single"/>
    </w:rPr>
  </w:style>
  <w:style w:type="character" w:customStyle="1" w:styleId="BoldandItalics">
    <w:name w:val="Bold and Italics"/>
    <w:qFormat/>
    <w:rsid w:val="003D6D70"/>
    <w:rPr>
      <w:b/>
      <w:i/>
      <w:u w:val="none"/>
    </w:rPr>
  </w:style>
  <w:style w:type="paragraph" w:styleId="BalloonText">
    <w:name w:val="Balloon Text"/>
    <w:basedOn w:val="Normal"/>
    <w:link w:val="BalloonTextChar"/>
    <w:rsid w:val="003D6D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D6D7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D6D7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D6D7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D6D7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D6D7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D6D70"/>
    <w:pPr>
      <w:spacing w:before="0" w:after="0"/>
    </w:pPr>
  </w:style>
  <w:style w:type="paragraph" w:customStyle="1" w:styleId="BodyTextBold">
    <w:name w:val="Body Text Bold"/>
    <w:basedOn w:val="BodyText"/>
    <w:qFormat/>
    <w:rsid w:val="003D6D70"/>
    <w:rPr>
      <w:b/>
    </w:rPr>
  </w:style>
  <w:style w:type="character" w:styleId="Hyperlink">
    <w:name w:val="Hyperlink"/>
    <w:basedOn w:val="DefaultParagraphFont"/>
    <w:uiPriority w:val="99"/>
    <w:unhideWhenUsed/>
    <w:rsid w:val="00FC303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506</Words>
  <Characters>3392</Characters>
  <Application>Microsoft Office Word</Application>
  <DocSecurity>0</DocSecurity>
  <Lines>154</Lines>
  <Paragraphs>86</Paragraphs>
  <ScaleCrop>false</ScaleCrop>
  <Company>Author-it Software Corporation Ltd.</Company>
  <LinksUpToDate>false</LinksUpToDate>
  <CharactersWithSpaces>3812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TLIF5023 Undertake a derailment investigation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2024-07-12T07:21:00Z</dcterms:created>
  <dcterms:modified xsi:type="dcterms:W3CDTF">2024-07-12T07:21:00Z</dcterms:modified>
</cp:coreProperties>
</file>