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660" w:rsidP="00A65660">
      <w:pPr>
        <w:pStyle w:val="Title"/>
      </w:pPr>
      <w:r>
        <w:fldChar w:fldCharType="begin"/>
      </w:r>
      <w:r>
        <w:instrText xml:space="preserve"> TITLE   \* MERGEFORMAT </w:instrText>
      </w:r>
      <w:r>
        <w:fldChar w:fldCharType="separate"/>
      </w:r>
      <w:r>
        <w:t>TLIF5021 Apply rail safeworking rules and procedures</w:t>
      </w:r>
      <w:r>
        <w:fldChar w:fldCharType="end"/>
      </w:r>
    </w:p>
    <w:p w:rsidR="00A65660" w:rsidP="00A65660">
      <w:pPr>
        <w:pStyle w:val="Version"/>
        <w:sectPr w:rsidSect="00452A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A4F" w:rsidP="00452A4F">
      <w:pPr>
        <w:pStyle w:val="SuperHeading"/>
      </w:pPr>
      <w:r w:rsidRPr="00452A4F">
        <w:t>TLIF5021 Apply rail safeworking rules and procedures</w:t>
      </w:r>
    </w:p>
    <w:p w:rsidR="00000000" w:rsidRPr="00452A4F" w:rsidP="00452A4F">
      <w:pPr>
        <w:pStyle w:val="Heading1"/>
      </w:pPr>
      <w:bookmarkStart w:id="1" w:name="O_752380"/>
      <w:bookmarkEnd w:id="1"/>
      <w:r w:rsidRPr="00452A4F">
        <w:t>Modification History</w:t>
      </w:r>
    </w:p>
    <w:p w:rsidR="00A65660" w:rsidP="00A65660">
      <w:pPr>
        <w:pStyle w:val="BodyText"/>
      </w:pPr>
      <w:r w:rsidRPr="00452A4F">
        <w:t>Release 1. This is the first release of this unit of competency in the TLI Transport and Logistics Training Package.</w:t>
      </w:r>
    </w:p>
    <w:p w:rsidR="00000000" w:rsidRPr="00452A4F" w:rsidP="00452A4F">
      <w:pPr>
        <w:pStyle w:val="Heading1"/>
      </w:pPr>
      <w:bookmarkStart w:id="2" w:name="O_752381"/>
      <w:bookmarkEnd w:id="2"/>
      <w:r w:rsidRPr="00452A4F">
        <w:t>Application</w:t>
      </w:r>
    </w:p>
    <w:tbl>
      <w:tblPr>
        <w:tblW w:w="0" w:type="auto"/>
        <w:tblCellMar>
          <w:left w:w="62" w:type="dxa"/>
          <w:right w:w="62" w:type="dxa"/>
        </w:tblCellMar>
        <w:tblLook w:val="0000"/>
      </w:tblPr>
      <w:tblGrid>
        <w:gridCol w:w="9196"/>
      </w:tblGrid>
      <w:tr w:rsidTr="00A656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2A4F" w:rsidP="00452A4F">
            <w:pPr>
              <w:pStyle w:val="BodyText"/>
            </w:pPr>
            <w:r w:rsidRPr="00452A4F">
              <w:t>This unit involves the skills and knowledge required to apply rail safeworking r</w:t>
            </w:r>
            <w:r w:rsidRPr="00452A4F">
              <w:t>ules and procedures.</w:t>
            </w:r>
          </w:p>
          <w:p w:rsidR="00000000" w:rsidRPr="00452A4F" w:rsidP="00452A4F">
            <w:pPr>
              <w:pStyle w:val="BodyText"/>
            </w:pPr>
            <w:r w:rsidRPr="00452A4F">
              <w:t xml:space="preserve">It includes establishing the purpose and function of safeworking systems, implementing the principles of rail safeworking systems and implementing the principles of track protection systems. </w:t>
            </w:r>
          </w:p>
          <w:p w:rsidR="00000000" w:rsidRPr="00452A4F" w:rsidP="00452A4F">
            <w:pPr>
              <w:pStyle w:val="BodyText"/>
            </w:pPr>
            <w:r w:rsidRPr="00452A4F">
              <w:t xml:space="preserve">This unit covers applying rail safeworking </w:t>
            </w:r>
            <w:r w:rsidRPr="00452A4F">
              <w:t>systems, which are integrated systems of operating procedures and engineered systems used in the rail network for safe operation of rail traffic, and protection of people and property. It can be applied to freight, heavy haul or metropolitan and regional p</w:t>
            </w:r>
            <w:r w:rsidRPr="00452A4F">
              <w:t>assenger rail systems.</w:t>
            </w:r>
          </w:p>
          <w:p w:rsidR="00000000" w:rsidRPr="00452A4F" w:rsidP="00452A4F">
            <w:pPr>
              <w:pStyle w:val="BodyText"/>
            </w:pPr>
            <w:r w:rsidRPr="00452A4F">
              <w:t>In applying this unit, the following rail safety operating principles may be involved:</w:t>
            </w:r>
          </w:p>
          <w:p w:rsidR="00000000" w:rsidRPr="00452A4F" w:rsidP="00452A4F">
            <w:pPr>
              <w:pStyle w:val="ListBullet"/>
            </w:pPr>
            <w:r w:rsidRPr="00452A4F">
              <w:t>ensuring emergencies and incidents are properly managed</w:t>
            </w:r>
          </w:p>
          <w:p w:rsidR="00000000" w:rsidRPr="00452A4F" w:rsidP="00452A4F">
            <w:pPr>
              <w:pStyle w:val="ListBullet"/>
            </w:pPr>
            <w:r w:rsidRPr="00452A4F">
              <w:t>ensuring interfaces between different organisations are properly defined and managed</w:t>
            </w:r>
          </w:p>
          <w:p w:rsidR="00000000" w:rsidRPr="00452A4F" w:rsidP="00452A4F">
            <w:pPr>
              <w:pStyle w:val="ListBullet"/>
            </w:pPr>
            <w:r w:rsidRPr="00452A4F">
              <w:t>iden</w:t>
            </w:r>
            <w:r w:rsidRPr="00452A4F">
              <w:t>tifying and managing risk</w:t>
            </w:r>
          </w:p>
          <w:p w:rsidR="00000000" w:rsidRPr="00452A4F" w:rsidP="00452A4F">
            <w:pPr>
              <w:pStyle w:val="ListBullet"/>
            </w:pPr>
            <w:r w:rsidRPr="00452A4F">
              <w:t>protecting people from injury</w:t>
            </w:r>
          </w:p>
          <w:p w:rsidR="00000000" w:rsidRPr="00452A4F" w:rsidP="00452A4F">
            <w:pPr>
              <w:pStyle w:val="ListBullet"/>
            </w:pPr>
            <w:r w:rsidRPr="00452A4F">
              <w:t>protecting property from damage</w:t>
            </w:r>
          </w:p>
          <w:p w:rsidR="00000000" w:rsidRPr="00452A4F" w:rsidP="00452A4F">
            <w:pPr>
              <w:pStyle w:val="ListBullet"/>
            </w:pPr>
            <w:r w:rsidRPr="00452A4F">
              <w:t>track access</w:t>
            </w:r>
          </w:p>
          <w:p w:rsidR="00000000" w:rsidRPr="00452A4F" w:rsidP="00452A4F">
            <w:pPr>
              <w:pStyle w:val="ListBullet"/>
            </w:pPr>
            <w:r w:rsidRPr="00452A4F">
              <w:t>train separation.</w:t>
            </w:r>
          </w:p>
          <w:p w:rsidR="00000000" w:rsidRPr="00452A4F" w:rsidP="00452A4F">
            <w:pPr>
              <w:pStyle w:val="BodyText"/>
            </w:pPr>
            <w:r w:rsidRPr="00452A4F">
              <w:t>No licensing, legislative or certification requirements apply to this unit at the time of publication.</w:t>
            </w:r>
          </w:p>
        </w:tc>
      </w:tr>
    </w:tbl>
    <w:p w:rsidR="00000000" w:rsidRPr="00452A4F" w:rsidP="00452A4F">
      <w:pPr>
        <w:pStyle w:val="BodyText"/>
      </w:pPr>
    </w:p>
    <w:p w:rsidR="00000000" w:rsidRPr="00452A4F" w:rsidP="00452A4F">
      <w:pPr>
        <w:pStyle w:val="AllowPageBreak"/>
      </w:pPr>
    </w:p>
    <w:p w:rsidR="00000000" w:rsidRPr="00452A4F" w:rsidP="00452A4F">
      <w:pPr>
        <w:pStyle w:val="Heading1"/>
      </w:pPr>
      <w:bookmarkStart w:id="3" w:name="O_752382"/>
      <w:bookmarkEnd w:id="3"/>
      <w:r w:rsidRPr="00452A4F">
        <w:t>Pre-requisite Unit</w:t>
      </w:r>
    </w:p>
    <w:p w:rsidR="00A65660" w:rsidP="00A65660">
      <w:pPr>
        <w:pStyle w:val="BodyText"/>
      </w:pPr>
      <w:r w:rsidRPr="00452A4F">
        <w:t>Not applicable.</w:t>
      </w:r>
    </w:p>
    <w:p w:rsidR="00000000" w:rsidRPr="00452A4F" w:rsidP="00452A4F">
      <w:pPr>
        <w:pStyle w:val="Heading1"/>
      </w:pPr>
      <w:bookmarkStart w:id="4" w:name="O_752383"/>
      <w:bookmarkEnd w:id="4"/>
      <w:r w:rsidRPr="00452A4F">
        <w:t>Competency Field</w:t>
      </w:r>
    </w:p>
    <w:p w:rsidR="00A65660" w:rsidP="00A65660">
      <w:pPr>
        <w:pStyle w:val="BodyText"/>
      </w:pPr>
      <w:r w:rsidRPr="00452A4F">
        <w:t>F – Safety Management</w:t>
      </w:r>
    </w:p>
    <w:p w:rsidR="00000000" w:rsidRPr="00452A4F" w:rsidP="00452A4F">
      <w:pPr>
        <w:pStyle w:val="Heading1"/>
      </w:pPr>
      <w:bookmarkStart w:id="5" w:name="O_752384"/>
      <w:bookmarkEnd w:id="5"/>
      <w:r w:rsidRPr="00452A4F">
        <w:t>Unit Sector</w:t>
      </w:r>
    </w:p>
    <w:p w:rsidR="00A65660" w:rsidP="00A65660">
      <w:pPr>
        <w:pStyle w:val="BodyText"/>
      </w:pPr>
      <w:r w:rsidRPr="00452A4F">
        <w:t>Not applicable.</w:t>
      </w:r>
    </w:p>
    <w:p w:rsidR="00000000" w:rsidRPr="00452A4F" w:rsidP="00452A4F">
      <w:pPr>
        <w:pStyle w:val="Heading1"/>
      </w:pPr>
      <w:bookmarkStart w:id="6" w:name="O_752385"/>
      <w:bookmarkEnd w:id="6"/>
      <w:r w:rsidRPr="00452A4F">
        <w:t>Elements and Performance Criteria</w:t>
      </w:r>
    </w:p>
    <w:tbl>
      <w:tblPr>
        <w:tblW w:w="0" w:type="auto"/>
        <w:tblCellMar>
          <w:left w:w="62" w:type="dxa"/>
          <w:right w:w="62" w:type="dxa"/>
        </w:tblCellMar>
        <w:tblLook w:val="0000"/>
      </w:tblPr>
      <w:tblGrid>
        <w:gridCol w:w="332"/>
        <w:gridCol w:w="1769"/>
        <w:gridCol w:w="1"/>
        <w:gridCol w:w="552"/>
        <w:gridCol w:w="6542"/>
      </w:tblGrid>
      <w:tr w:rsidTr="00A656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Performance criteria de</w:t>
            </w:r>
            <w:r w:rsidRPr="00452A4F">
              <w:t>scribe the performance needed to demonstrate achievement of the element.</w:t>
            </w:r>
          </w:p>
        </w:tc>
      </w:tr>
      <w:tr w:rsidTr="00A656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2A4F" w:rsidP="00452A4F">
            <w:pPr>
              <w:pStyle w:val="BodyText"/>
            </w:pPr>
            <w:r w:rsidRPr="00452A4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rPr>
                <w:rStyle w:val="SpecialBold"/>
              </w:rPr>
              <w:t>Establish purpose and function of rail safeworking systems</w:t>
            </w: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1.1</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Relevant information is accessed and analysed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1.2</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Purpose of rail safeworking rules and procedures are identified and explained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1.3</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Methods for developing safeworking rules and procedures are identified and outlined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1.4</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Types of safeworking systems, their functions and where they are used are explained</w:t>
            </w:r>
          </w:p>
        </w:tc>
      </w:tr>
      <w:tr w:rsidTr="00A656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2A4F" w:rsidP="00452A4F">
            <w:pPr>
              <w:pStyle w:val="BodyText"/>
            </w:pPr>
            <w:r w:rsidRPr="00452A4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rPr>
                <w:rStyle w:val="SpecialBold"/>
              </w:rPr>
              <w:t>Implement principles of rail safeworking systems</w:t>
            </w: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2.1</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Relevant information is accessed and analysed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2.2</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Principles behind rail safeworking systems are identified and explained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2.3</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Main elements of rail safeworking systems are identified and explained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2.4</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Methods by which operations can continue in degraded situations are identified and outlined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2.5</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Appropriate procedures are prepared to enable operations to continue in various degraded situations</w:t>
            </w:r>
          </w:p>
        </w:tc>
      </w:tr>
      <w:tr w:rsidTr="00A656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2A4F" w:rsidP="00452A4F">
            <w:pPr>
              <w:pStyle w:val="BodyText"/>
            </w:pPr>
            <w:r w:rsidRPr="00452A4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rPr>
                <w:rStyle w:val="SpecialBold"/>
              </w:rPr>
              <w:t>Implement principles of track protection systems</w:t>
            </w: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3.1</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Relevant information is accessed and analysed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3.2</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Risks involved in working on or beside the track are identified, explained and managed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3.3</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Purpose of track protection is identified and explained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3.4</w:t>
            </w:r>
          </w:p>
        </w:tc>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Different methods of track protection are identified and outlined</w:t>
            </w:r>
          </w:p>
        </w:tc>
      </w:tr>
      <w:tr w:rsidTr="00A656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3.5</w:t>
            </w:r>
          </w:p>
        </w:tc>
        <w:tc>
          <w:tcPr>
            <w:tcW w:w="0" w:type="auto"/>
            <w:tcBorders>
              <w:top w:val="nil"/>
              <w:left w:val="nil"/>
              <w:bottom w:val="nil"/>
              <w:right w:val="nil"/>
            </w:tcBorders>
            <w:tcMar>
              <w:top w:w="0" w:type="dxa"/>
              <w:left w:w="62" w:type="dxa"/>
              <w:bottom w:w="0" w:type="dxa"/>
              <w:right w:w="62" w:type="dxa"/>
            </w:tcMar>
          </w:tcPr>
          <w:p w:rsidR="00000000" w:rsidRPr="00452A4F" w:rsidP="00452A4F">
            <w:pPr>
              <w:pStyle w:val="BodyText"/>
            </w:pPr>
            <w:r w:rsidRPr="00452A4F">
              <w:t>Work is planned so that re</w:t>
            </w:r>
            <w:r w:rsidRPr="00452A4F">
              <w:t>levant track protection methods can be applied</w:t>
            </w:r>
          </w:p>
        </w:tc>
      </w:tr>
    </w:tbl>
    <w:p w:rsidR="00A65660" w:rsidP="00452A4F">
      <w:pPr>
        <w:pStyle w:val="BodyText"/>
      </w:pPr>
    </w:p>
    <w:p w:rsidR="00A65660" w:rsidP="00452A4F">
      <w:pPr>
        <w:pStyle w:val="BodyText"/>
      </w:pPr>
    </w:p>
    <w:p w:rsidR="00000000" w:rsidRPr="00452A4F" w:rsidP="00452A4F">
      <w:pPr>
        <w:pStyle w:val="Heading1"/>
      </w:pPr>
      <w:bookmarkStart w:id="7" w:name="O_752386"/>
      <w:bookmarkEnd w:id="7"/>
      <w:r w:rsidRPr="00452A4F">
        <w:t>Foundation Skills</w:t>
      </w:r>
    </w:p>
    <w:p w:rsidR="00A65660" w:rsidP="00A65660">
      <w:pPr>
        <w:pStyle w:val="BodyText"/>
      </w:pPr>
      <w:r w:rsidRPr="00452A4F">
        <w:t>Foundation skills essential to performance are explicit in the performance criteria of this unit of competency.</w:t>
      </w:r>
    </w:p>
    <w:p w:rsidR="00000000" w:rsidRPr="00452A4F" w:rsidP="00452A4F">
      <w:pPr>
        <w:pStyle w:val="Heading1"/>
      </w:pPr>
      <w:bookmarkStart w:id="8" w:name="O_752387"/>
      <w:bookmarkEnd w:id="8"/>
      <w:r w:rsidRPr="00452A4F">
        <w:t>Range of Conditions</w:t>
      </w:r>
    </w:p>
    <w:p w:rsidR="00000000" w:rsidRPr="00452A4F" w:rsidP="00A65660">
      <w:pPr>
        <w:pStyle w:val="BodyText"/>
      </w:pPr>
      <w:r w:rsidRPr="00452A4F">
        <w:t>Range is restricted to essential operating conditions and any other variables essential to the work environment.</w:t>
      </w:r>
    </w:p>
    <w:p w:rsidR="00A65660" w:rsidP="00A65660">
      <w:pPr>
        <w:pStyle w:val="BodyText"/>
      </w:pPr>
      <w:r w:rsidRPr="00452A4F">
        <w:t>Non-essential conditions can be found in the Companion Volume Implementation Guide.</w:t>
      </w:r>
    </w:p>
    <w:p w:rsidR="00000000" w:rsidRPr="00452A4F" w:rsidP="00452A4F">
      <w:pPr>
        <w:pStyle w:val="Heading1"/>
      </w:pPr>
      <w:bookmarkStart w:id="9" w:name="O_752388"/>
      <w:bookmarkEnd w:id="9"/>
      <w:r w:rsidRPr="00452A4F">
        <w:t>Unit Mapping Information</w:t>
      </w:r>
    </w:p>
    <w:p w:rsidR="00A65660" w:rsidP="00A65660">
      <w:pPr>
        <w:pStyle w:val="BodyText"/>
      </w:pPr>
      <w:r w:rsidRPr="00452A4F">
        <w:t>This unit replac</w:t>
      </w:r>
      <w:r w:rsidRPr="00452A4F">
        <w:t>es and is equivalent to TLIF5021A Apply rail safeworking rules and procedures.</w:t>
      </w:r>
    </w:p>
    <w:p w:rsidR="00000000" w:rsidRPr="00452A4F" w:rsidP="00452A4F">
      <w:pPr>
        <w:pStyle w:val="Heading1"/>
      </w:pPr>
      <w:bookmarkStart w:id="10" w:name="O_752395"/>
      <w:bookmarkEnd w:id="10"/>
      <w:r w:rsidRPr="00452A4F">
        <w:t>Links</w:t>
      </w:r>
    </w:p>
    <w:p w:rsidR="00000000" w:rsidRPr="00452A4F" w:rsidP="00A65660">
      <w:pPr>
        <w:pStyle w:val="BodyText"/>
      </w:pPr>
      <w:r w:rsidRPr="00452A4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F34C5">
        <w:rPr>
          <w:rStyle w:val="Hyperlink"/>
        </w:rPr>
        <w:t>https://vetnet.gov.au/Pages/TrainingDocs.aspx?q=df441c6e-213d-43e3-874c-0b3f7036d851</w:t>
      </w:r>
      <w:r>
        <w:fldChar w:fldCharType="end"/>
      </w:r>
    </w:p>
    <w:p w:rsidR="00000000" w:rsidRPr="00452A4F" w:rsidP="00A65660">
      <w:pPr>
        <w:pStyle w:val="BodyText"/>
        <w:sectPr w:rsidSect="00452A4F">
          <w:headerReference w:type="default" r:id="rId10"/>
          <w:footerReference w:type="default" r:id="rId11"/>
          <w:pgSz w:w="11908" w:h="16833"/>
          <w:pgMar w:top="1702" w:right="1418" w:bottom="1702" w:left="1418" w:header="992" w:footer="992" w:gutter="0"/>
          <w:cols w:space="720"/>
          <w:noEndnote/>
          <w:docGrid w:linePitch="299"/>
        </w:sectPr>
      </w:pPr>
    </w:p>
    <w:p w:rsidR="00000000" w:rsidRPr="00452A4F" w:rsidP="00452A4F">
      <w:pPr>
        <w:pStyle w:val="SuperHeading"/>
      </w:pPr>
      <w:r w:rsidRPr="00452A4F">
        <w:t>Assessment Requirements for TLIF5021 Apply rail safeworking rules and procedures</w:t>
      </w:r>
    </w:p>
    <w:p w:rsidR="00000000" w:rsidRPr="00452A4F" w:rsidP="00452A4F">
      <w:pPr>
        <w:pStyle w:val="Heading1"/>
      </w:pPr>
      <w:bookmarkStart w:id="11" w:name="O_752390"/>
      <w:bookmarkEnd w:id="11"/>
      <w:r w:rsidRPr="00452A4F">
        <w:t>Modification History</w:t>
      </w:r>
    </w:p>
    <w:p w:rsidR="00A65660" w:rsidP="00A65660">
      <w:pPr>
        <w:pStyle w:val="BodyText"/>
      </w:pPr>
      <w:r w:rsidRPr="00452A4F">
        <w:t>Release 1. This is the first release of this unit of competency in the TLI Transport and Log</w:t>
      </w:r>
      <w:r w:rsidRPr="00452A4F">
        <w:t>istics Training Package.</w:t>
      </w:r>
    </w:p>
    <w:p w:rsidR="00000000" w:rsidRPr="00452A4F" w:rsidP="00452A4F">
      <w:pPr>
        <w:pStyle w:val="Heading1"/>
      </w:pPr>
      <w:bookmarkStart w:id="12" w:name="O_752391"/>
      <w:bookmarkEnd w:id="12"/>
      <w:r w:rsidRPr="00452A4F">
        <w:t>Performance Evidence</w:t>
      </w:r>
    </w:p>
    <w:tbl>
      <w:tblPr>
        <w:tblW w:w="0" w:type="auto"/>
        <w:tblCellMar>
          <w:left w:w="62" w:type="dxa"/>
          <w:right w:w="62" w:type="dxa"/>
        </w:tblCellMar>
        <w:tblLook w:val="0000"/>
      </w:tblPr>
      <w:tblGrid>
        <w:gridCol w:w="9196"/>
      </w:tblGrid>
      <w:tr w:rsidTr="00A6566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Evidence required to demonstrate competence in this unit must be relevant to and satisfy all of the requirements of the elements and performance criteria on at least one occasion and include:</w:t>
            </w:r>
          </w:p>
        </w:tc>
      </w:tr>
      <w:tr w:rsidTr="00A65660">
        <w:tblPrEx>
          <w:tblW w:w="0" w:type="auto"/>
          <w:tblCellMar>
            <w:left w:w="62" w:type="dxa"/>
            <w:right w:w="62" w:type="dxa"/>
          </w:tblCellMar>
          <w:tblLook w:val="0000"/>
        </w:tblPrEx>
        <w:trPr>
          <w:trHeight w:val="1642"/>
        </w:trPr>
        <w:tc>
          <w:tcPr>
            <w:tcW w:w="0" w:type="auto"/>
            <w:tcBorders>
              <w:top w:val="nil"/>
              <w:left w:val="nil"/>
              <w:bottom w:val="nil"/>
              <w:right w:val="nil"/>
            </w:tcBorders>
            <w:tcMar>
              <w:top w:w="0" w:type="dxa"/>
              <w:left w:w="62" w:type="dxa"/>
              <w:bottom w:w="0" w:type="dxa"/>
              <w:right w:w="62" w:type="dxa"/>
            </w:tcMar>
          </w:tcPr>
          <w:p w:rsidR="00000000" w:rsidRPr="00452A4F" w:rsidP="00452A4F">
            <w:pPr>
              <w:pStyle w:val="ListBullet"/>
            </w:pPr>
            <w:r w:rsidRPr="00452A4F">
              <w:t>accessing and using rail safety industry standards, rules, codes of practice and operational procedures</w:t>
            </w:r>
          </w:p>
          <w:p w:rsidR="00000000" w:rsidRPr="00452A4F" w:rsidP="00452A4F">
            <w:pPr>
              <w:pStyle w:val="ListBullet"/>
            </w:pPr>
            <w:r w:rsidRPr="00452A4F">
              <w:t>applying relevant safeworking systems and workplace procedures</w:t>
            </w:r>
          </w:p>
          <w:p w:rsidR="00000000" w:rsidRPr="00452A4F" w:rsidP="00452A4F">
            <w:pPr>
              <w:pStyle w:val="ListBullet"/>
            </w:pPr>
            <w:r w:rsidRPr="00452A4F">
              <w:t>identifying job hazards and taking required action to minimise, control or eliminate id</w:t>
            </w:r>
            <w:r w:rsidRPr="00452A4F">
              <w:t xml:space="preserve">entified hazards </w:t>
            </w:r>
          </w:p>
          <w:p w:rsidR="00000000" w:rsidRPr="00452A4F" w:rsidP="00452A4F">
            <w:pPr>
              <w:pStyle w:val="ListBullet"/>
            </w:pPr>
            <w:r w:rsidRPr="00452A4F">
              <w:t>researching and reviewing relevant rail industry and rail safety regulation information.</w:t>
            </w:r>
          </w:p>
        </w:tc>
      </w:tr>
    </w:tbl>
    <w:p w:rsidR="00000000" w:rsidRPr="00452A4F" w:rsidP="00452A4F">
      <w:pPr>
        <w:pStyle w:val="BodyText"/>
      </w:pPr>
    </w:p>
    <w:p w:rsidR="00000000" w:rsidRPr="00452A4F" w:rsidP="00452A4F">
      <w:pPr>
        <w:pStyle w:val="AllowPageBreak"/>
      </w:pPr>
    </w:p>
    <w:p w:rsidR="00000000" w:rsidRPr="00452A4F" w:rsidP="00452A4F">
      <w:pPr>
        <w:pStyle w:val="Heading1"/>
      </w:pPr>
      <w:bookmarkStart w:id="13" w:name="O_752392"/>
      <w:bookmarkEnd w:id="13"/>
      <w:r w:rsidRPr="00452A4F">
        <w:t>Knowledge Evidence</w:t>
      </w:r>
    </w:p>
    <w:tbl>
      <w:tblPr>
        <w:tblW w:w="0" w:type="auto"/>
        <w:tblCellMar>
          <w:left w:w="62" w:type="dxa"/>
          <w:right w:w="62" w:type="dxa"/>
        </w:tblCellMar>
        <w:tblLook w:val="0000"/>
      </w:tblPr>
      <w:tblGrid>
        <w:gridCol w:w="9196"/>
      </w:tblGrid>
      <w:tr w:rsidTr="00A6566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52A4F">
            <w:pPr>
              <w:pStyle w:val="BodyText"/>
              <w:rPr>
                <w:lang w:val="en-NZ"/>
              </w:rPr>
            </w:pPr>
            <w:r w:rsidRPr="00452A4F">
              <w:t>Evidence required to demonstrate competence in this unit must be relevant to and satisfy all of the requirements of the elements and performance criteria and include knowledge of:</w:t>
            </w:r>
          </w:p>
        </w:tc>
      </w:tr>
      <w:tr w:rsidTr="00A6566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52A4F" w:rsidP="00452A4F">
            <w:pPr>
              <w:pStyle w:val="ListBullet"/>
            </w:pPr>
            <w:r w:rsidRPr="00452A4F">
              <w:t>duty holders and their duties under rail safety and work health and safety</w:t>
            </w:r>
            <w:r w:rsidRPr="00452A4F">
              <w:t xml:space="preserve"> (WHS)/occupational health and safety (OHS) legislation</w:t>
            </w:r>
          </w:p>
          <w:p w:rsidR="00000000" w:rsidRPr="00452A4F" w:rsidP="00452A4F">
            <w:pPr>
              <w:pStyle w:val="ListBullet"/>
            </w:pPr>
            <w:r w:rsidRPr="00452A4F">
              <w:t xml:space="preserve">key concepts and definitions relating to rail safeworking </w:t>
            </w:r>
          </w:p>
          <w:p w:rsidR="00000000" w:rsidRPr="00452A4F" w:rsidP="00452A4F">
            <w:pPr>
              <w:pStyle w:val="ListBullet"/>
            </w:pPr>
            <w:r w:rsidRPr="00452A4F">
              <w:t>key principles and practices associated with railway operations</w:t>
            </w:r>
          </w:p>
          <w:p w:rsidR="00000000" w:rsidRPr="00452A4F" w:rsidP="00452A4F">
            <w:pPr>
              <w:pStyle w:val="ListBullet"/>
            </w:pPr>
            <w:r w:rsidRPr="00452A4F">
              <w:t>key regulatory requirements and rail industry standards for rail industry par</w:t>
            </w:r>
            <w:r w:rsidRPr="00452A4F">
              <w:t xml:space="preserve">ticipants </w:t>
            </w:r>
          </w:p>
          <w:p w:rsidR="00000000" w:rsidRPr="00452A4F" w:rsidP="00452A4F">
            <w:pPr>
              <w:pStyle w:val="ListBullet"/>
            </w:pPr>
            <w:r w:rsidRPr="00452A4F">
              <w:t>rail safety management systems (SMSs) and process</w:t>
            </w:r>
          </w:p>
          <w:p w:rsidR="00000000" w:rsidRPr="00452A4F" w:rsidP="00452A4F">
            <w:pPr>
              <w:pStyle w:val="ListBullet"/>
            </w:pPr>
            <w:r w:rsidRPr="00452A4F">
              <w:t>rail safety operating principles</w:t>
            </w:r>
          </w:p>
          <w:p w:rsidR="00000000" w:rsidRPr="00452A4F" w:rsidP="00452A4F">
            <w:pPr>
              <w:pStyle w:val="ListBullet"/>
            </w:pPr>
            <w:r w:rsidRPr="00452A4F">
              <w:t>rail safety regulatory framework</w:t>
            </w:r>
          </w:p>
          <w:p w:rsidR="00000000" w:rsidRPr="00452A4F" w:rsidP="00452A4F">
            <w:pPr>
              <w:pStyle w:val="ListBullet"/>
            </w:pPr>
            <w:r w:rsidRPr="00452A4F">
              <w:t>relevant rail safety, WHS/OHS and environmental legislation related to safeworking and track protection.</w:t>
            </w:r>
          </w:p>
        </w:tc>
      </w:tr>
    </w:tbl>
    <w:p w:rsidR="00000000" w:rsidRPr="00452A4F" w:rsidP="00452A4F">
      <w:pPr>
        <w:pStyle w:val="BodyText"/>
      </w:pPr>
    </w:p>
    <w:p w:rsidR="00000000" w:rsidRPr="00452A4F" w:rsidP="00452A4F">
      <w:pPr>
        <w:pStyle w:val="AllowPageBreak"/>
      </w:pPr>
    </w:p>
    <w:p w:rsidR="00000000" w:rsidRPr="00452A4F" w:rsidP="00452A4F">
      <w:pPr>
        <w:pStyle w:val="Heading1"/>
      </w:pPr>
      <w:bookmarkStart w:id="14" w:name="O_752393"/>
      <w:bookmarkEnd w:id="14"/>
      <w:r w:rsidRPr="00452A4F">
        <w:t>Assessment Conditions</w:t>
      </w:r>
    </w:p>
    <w:tbl>
      <w:tblPr>
        <w:tblW w:w="0" w:type="auto"/>
        <w:tblCellMar>
          <w:left w:w="62" w:type="dxa"/>
          <w:right w:w="62" w:type="dxa"/>
        </w:tblCellMar>
        <w:tblLook w:val="0000"/>
      </w:tblPr>
      <w:tblGrid>
        <w:gridCol w:w="9196"/>
      </w:tblGrid>
      <w:tr w:rsidTr="00A656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2A4F" w:rsidP="00452A4F">
            <w:pPr>
              <w:pStyle w:val="BodyText"/>
            </w:pPr>
            <w:r w:rsidRPr="00452A4F">
              <w:t xml:space="preserve">As a minimum, assessors must satisfy applicable regulatory requirements, which include requirements in the </w:t>
            </w:r>
            <w:r w:rsidRPr="00452A4F">
              <w:rPr>
                <w:rStyle w:val="Emphasis"/>
              </w:rPr>
              <w:t>Standards for Registered Training Organisations</w:t>
            </w:r>
            <w:r w:rsidRPr="00452A4F">
              <w:t xml:space="preserve"> current at the time of assessment. </w:t>
            </w:r>
          </w:p>
          <w:p w:rsidR="00000000" w:rsidRPr="00452A4F" w:rsidP="00452A4F">
            <w:pPr>
              <w:pStyle w:val="BodyText"/>
            </w:pPr>
            <w:r w:rsidRPr="00452A4F">
              <w:t>As a minimum, assessment must satisfy appli</w:t>
            </w:r>
            <w:r w:rsidRPr="00452A4F">
              <w:t xml:space="preserve">cable regulatory requirements, which include requirements in the </w:t>
            </w:r>
            <w:r w:rsidRPr="00452A4F">
              <w:rPr>
                <w:rStyle w:val="Emphasis"/>
              </w:rPr>
              <w:t>Standards for Registered Training Organisations</w:t>
            </w:r>
            <w:r w:rsidRPr="00452A4F">
              <w:t xml:space="preserve"> current at the time of assessment.</w:t>
            </w:r>
          </w:p>
          <w:p w:rsidR="00000000" w:rsidRPr="00452A4F" w:rsidP="00452A4F">
            <w:pPr>
              <w:pStyle w:val="BodyText"/>
            </w:pPr>
            <w:r w:rsidRPr="00452A4F">
              <w:t>Assessment must occur in rail workplace operational situations or, where this is not available, in simulated</w:t>
            </w:r>
            <w:r w:rsidRPr="00452A4F">
              <w:t xml:space="preserve"> workplace operational situations that replicate rail workplace conditions.</w:t>
            </w:r>
          </w:p>
          <w:p w:rsidR="00000000" w:rsidRPr="00452A4F" w:rsidP="00452A4F">
            <w:pPr>
              <w:pStyle w:val="BodyText"/>
            </w:pPr>
            <w:r w:rsidRPr="00452A4F">
              <w:t>Assessment processes and techniques must be appropriate to the language, literacy and numeracy requirements of the work being performed and the needs of the candidate.</w:t>
            </w:r>
          </w:p>
          <w:p w:rsidR="00000000" w:rsidRPr="00452A4F" w:rsidP="00452A4F">
            <w:pPr>
              <w:pStyle w:val="BodyText"/>
            </w:pPr>
            <w:r w:rsidRPr="00452A4F">
              <w:t>Resources fo</w:t>
            </w:r>
            <w:r w:rsidRPr="00452A4F">
              <w:t>r assessment include:</w:t>
            </w:r>
          </w:p>
          <w:p w:rsidR="00000000" w:rsidRPr="00452A4F" w:rsidP="00452A4F">
            <w:pPr>
              <w:pStyle w:val="ListBullet2"/>
            </w:pPr>
            <w:r w:rsidRPr="00452A4F">
              <w:t>a range of relevant exercises, case studies and/or simulations</w:t>
            </w:r>
          </w:p>
          <w:p w:rsidR="00000000" w:rsidRPr="00452A4F" w:rsidP="00452A4F">
            <w:pPr>
              <w:pStyle w:val="ListBullet2"/>
            </w:pPr>
            <w:r w:rsidRPr="00452A4F">
              <w:t>relevant and appropriate materials, tools, equipment and personal protective equipment currently used in industry</w:t>
            </w:r>
          </w:p>
          <w:p w:rsidR="00000000" w:rsidRPr="00452A4F" w:rsidP="00452A4F">
            <w:pPr>
              <w:pStyle w:val="ListBullet2"/>
            </w:pPr>
            <w:r w:rsidRPr="00452A4F">
              <w:t>applicable documentation including workplace procedures,</w:t>
            </w:r>
            <w:r w:rsidRPr="00452A4F">
              <w:t xml:space="preserve"> regulations, rail industry standards, codes of practice and operation manuals.</w:t>
            </w:r>
          </w:p>
        </w:tc>
      </w:tr>
    </w:tbl>
    <w:p w:rsidR="00000000" w:rsidRPr="00452A4F" w:rsidP="00452A4F">
      <w:pPr>
        <w:pStyle w:val="BodyText"/>
      </w:pPr>
    </w:p>
    <w:p w:rsidR="00000000" w:rsidRPr="00452A4F" w:rsidP="00452A4F">
      <w:pPr>
        <w:pStyle w:val="AllowPageBreak"/>
      </w:pPr>
    </w:p>
    <w:p w:rsidR="00000000" w:rsidRPr="00452A4F" w:rsidP="00452A4F">
      <w:pPr>
        <w:pStyle w:val="Heading1"/>
      </w:pPr>
      <w:bookmarkStart w:id="15" w:name="O_752396"/>
      <w:bookmarkEnd w:id="15"/>
      <w:r w:rsidRPr="00452A4F">
        <w:t>Links</w:t>
      </w:r>
    </w:p>
    <w:p w:rsidR="00000000" w:rsidRPr="00452A4F" w:rsidP="00A65660">
      <w:pPr>
        <w:pStyle w:val="BodyText"/>
      </w:pPr>
      <w:r w:rsidRPr="00452A4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F34C5">
        <w:rPr>
          <w:rStyle w:val="Hyperlink"/>
        </w:rPr>
        <w:t>https://vetnet.gov.au/Pages/TrainingDocs.aspx?q=df441c6e-213d-43e3-874c-0b3f7036d851</w:t>
      </w:r>
      <w:r>
        <w:fldChar w:fldCharType="end"/>
      </w:r>
    </w:p>
    <w:p w:rsidR="00000000" w:rsidRPr="00452A4F" w:rsidP="00452A4F"/>
    <w:sectPr w:rsidSect="00452A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F" w:rsidRPr="00A65660" w:rsidP="00A65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60" w:rsidP="00452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660" w:rsidP="00452A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65660" w:rsidP="00452A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F" w:rsidP="00452A4F">
    <w:pPr>
      <w:pStyle w:val="Footer"/>
      <w:framePr w:wrap="around"/>
    </w:pPr>
    <w:r>
      <w:fldChar w:fldCharType="begin"/>
    </w:r>
    <w:r>
      <w:instrText xml:space="preserve"> DOCPROPERTY  Subject  \* MERGEFORMAT </w:instrText>
    </w:r>
    <w:r>
      <w:fldChar w:fldCharType="separate"/>
    </w:r>
    <w:r w:rsidR="00A65660">
      <w:t>Approved</w:t>
    </w:r>
    <w:r w:rsidR="00A65660">
      <w:fldChar w:fldCharType="end"/>
    </w:r>
    <w:r>
      <w:tab/>
      <w:t xml:space="preserve">Page </w:t>
    </w:r>
    <w:r>
      <w:fldChar w:fldCharType="begin"/>
    </w:r>
    <w:r>
      <w:instrText xml:space="preserve"> PAGE  \* Arabic  \* MERGEFORMAT </w:instrText>
    </w:r>
    <w:r>
      <w:fldChar w:fldCharType="separate"/>
    </w:r>
    <w:r w:rsidR="00A656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5660">
      <w:rPr>
        <w:noProof/>
      </w:rPr>
      <w:t>4</w:t>
    </w:r>
    <w:r>
      <w:rPr>
        <w:noProof/>
      </w:rPr>
      <w:fldChar w:fldCharType="end"/>
    </w:r>
  </w:p>
  <w:p w:rsidR="00452A4F" w:rsidP="00452A4F">
    <w:pPr>
      <w:pStyle w:val="Footer"/>
      <w:framePr w:wrap="around"/>
    </w:pPr>
    <w:r>
      <w:t xml:space="preserve">© Commonwealth of Australia, </w:t>
    </w:r>
    <w:r>
      <w:fldChar w:fldCharType="begin"/>
    </w:r>
    <w:r>
      <w:instrText xml:space="preserve"> DATE  \@ "yyyy"  \* MERGEFORMAT </w:instrText>
    </w:r>
    <w:r>
      <w:fldChar w:fldCharType="separate"/>
    </w:r>
    <w:r w:rsidR="00A65660">
      <w:rPr>
        <w:noProof/>
      </w:rPr>
      <w:t>2025</w:t>
    </w:r>
    <w:r>
      <w:fldChar w:fldCharType="end"/>
    </w:r>
    <w:r>
      <w:tab/>
    </w:r>
    <w:r>
      <w:fldChar w:fldCharType="begin"/>
    </w:r>
    <w:r>
      <w:instrText xml:space="preserve"> DOCPROPERTY  Author  \* MERGEFORMAT </w:instrText>
    </w:r>
    <w:r>
      <w:fldChar w:fldCharType="separate"/>
    </w:r>
    <w:r w:rsidR="00A65660">
      <w:t>Industry Skills Australia</w:t>
    </w:r>
    <w:r w:rsidR="00A65660">
      <w:fldChar w:fldCharType="end"/>
    </w:r>
  </w:p>
  <w:p w:rsidR="00452A4F" w:rsidP="00452A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A4F" w:rsidRPr="00A65660" w:rsidP="00A65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60" w:rsidRPr="002D2AF8" w:rsidP="00452A4F">
    <w:pPr>
      <w:pStyle w:val="Header"/>
      <w:framePr w:wrap="around"/>
    </w:pPr>
    <w:r>
      <w:fldChar w:fldCharType="begin"/>
    </w:r>
    <w:r>
      <w:instrText xml:space="preserve"> TITLE   \* MERGEFORMAT </w:instrText>
    </w:r>
    <w:r>
      <w:fldChar w:fldCharType="separate"/>
    </w:r>
    <w:r>
      <w:t>TLIF5021 Apply rail safeworking rules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5660" w:rsidP="00452A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F" w:rsidRPr="002D2AF8" w:rsidP="00452A4F">
    <w:pPr>
      <w:pStyle w:val="Header"/>
      <w:framePr w:wrap="around"/>
    </w:pPr>
    <w:r>
      <w:fldChar w:fldCharType="begin"/>
    </w:r>
    <w:r>
      <w:instrText xml:space="preserve"> TITLE   \* MERGEFORMAT </w:instrText>
    </w:r>
    <w:r>
      <w:fldChar w:fldCharType="separate"/>
    </w:r>
    <w:r w:rsidR="00A65660">
      <w:t>TLIF5021 Apply rail safeworking rules and procedures</w:t>
    </w:r>
    <w:r w:rsidR="00A65660">
      <w:fldChar w:fldCharType="end"/>
    </w:r>
    <w:r>
      <w:tab/>
      <w:t xml:space="preserve">Date this document was generated: </w:t>
    </w:r>
    <w:r>
      <w:fldChar w:fldCharType="begin"/>
    </w:r>
    <w:r>
      <w:instrText xml:space="preserve"> CREATEDATE  \@ "d MMMM yyyy"  \* MERGEFORMAT </w:instrText>
    </w:r>
    <w:r>
      <w:fldChar w:fldCharType="separate"/>
    </w:r>
    <w:r w:rsidR="00A65660">
      <w:rPr>
        <w:noProof/>
      </w:rPr>
      <w:t>2 March 2025</w:t>
    </w:r>
    <w:r>
      <w:fldChar w:fldCharType="end"/>
    </w:r>
  </w:p>
  <w:p w:rsidR="00452A4F" w:rsidP="00452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45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267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964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A4F"/>
    <w:pPr>
      <w:spacing w:before="360" w:after="60"/>
      <w:outlineLvl w:val="0"/>
    </w:pPr>
    <w:rPr>
      <w:sz w:val="32"/>
    </w:rPr>
  </w:style>
  <w:style w:type="paragraph" w:styleId="Heading2">
    <w:name w:val="heading 2"/>
    <w:basedOn w:val="HeadingBase"/>
    <w:next w:val="BodyText"/>
    <w:link w:val="Heading2Char"/>
    <w:qFormat/>
    <w:rsid w:val="00452A4F"/>
    <w:pPr>
      <w:keepLines/>
      <w:spacing w:before="240" w:after="120"/>
      <w:outlineLvl w:val="1"/>
    </w:pPr>
    <w:rPr>
      <w:sz w:val="28"/>
      <w:szCs w:val="40"/>
    </w:rPr>
  </w:style>
  <w:style w:type="paragraph" w:styleId="Heading3">
    <w:name w:val="heading 3"/>
    <w:basedOn w:val="HeadingBase"/>
    <w:next w:val="BodyText"/>
    <w:link w:val="Heading3Char"/>
    <w:qFormat/>
    <w:rsid w:val="00452A4F"/>
    <w:pPr>
      <w:spacing w:before="180" w:after="120"/>
      <w:outlineLvl w:val="2"/>
    </w:pPr>
    <w:rPr>
      <w:spacing w:val="-10"/>
      <w:kern w:val="32"/>
    </w:rPr>
  </w:style>
  <w:style w:type="paragraph" w:styleId="Heading4">
    <w:name w:val="heading 4"/>
    <w:basedOn w:val="HeadingBase"/>
    <w:next w:val="BodyText"/>
    <w:link w:val="Heading4Char"/>
    <w:qFormat/>
    <w:rsid w:val="00452A4F"/>
    <w:pPr>
      <w:spacing w:before="160" w:after="120"/>
      <w:outlineLvl w:val="3"/>
    </w:pPr>
    <w:rPr>
      <w:sz w:val="22"/>
    </w:rPr>
  </w:style>
  <w:style w:type="paragraph" w:styleId="Heading5">
    <w:name w:val="heading 5"/>
    <w:basedOn w:val="HeadingBase"/>
    <w:next w:val="Normal"/>
    <w:link w:val="Heading5Char"/>
    <w:qFormat/>
    <w:rsid w:val="00452A4F"/>
    <w:pPr>
      <w:spacing w:before="80"/>
      <w:outlineLvl w:val="4"/>
    </w:pPr>
    <w:rPr>
      <w:color w:val="918585"/>
      <w:sz w:val="20"/>
    </w:rPr>
  </w:style>
  <w:style w:type="paragraph" w:styleId="Heading6">
    <w:name w:val="heading 6"/>
    <w:basedOn w:val="HeadingBase"/>
    <w:next w:val="Normal"/>
    <w:link w:val="Heading6Char"/>
    <w:qFormat/>
    <w:rsid w:val="00452A4F"/>
    <w:pPr>
      <w:spacing w:before="60"/>
      <w:outlineLvl w:val="5"/>
    </w:pPr>
    <w:rPr>
      <w:color w:val="918585"/>
      <w:sz w:val="20"/>
    </w:rPr>
  </w:style>
  <w:style w:type="paragraph" w:styleId="Heading7">
    <w:name w:val="heading 7"/>
    <w:basedOn w:val="Normal"/>
    <w:next w:val="Normal"/>
    <w:link w:val="Heading7Char"/>
    <w:qFormat/>
    <w:rsid w:val="00452A4F"/>
    <w:pPr>
      <w:ind w:left="720"/>
      <w:outlineLvl w:val="6"/>
    </w:pPr>
    <w:rPr>
      <w:i/>
    </w:rPr>
  </w:style>
  <w:style w:type="paragraph" w:styleId="Heading8">
    <w:name w:val="heading 8"/>
    <w:basedOn w:val="Normal"/>
    <w:next w:val="Normal"/>
    <w:link w:val="Heading8Char"/>
    <w:qFormat/>
    <w:rsid w:val="00452A4F"/>
    <w:pPr>
      <w:ind w:left="720"/>
      <w:outlineLvl w:val="7"/>
    </w:pPr>
    <w:rPr>
      <w:i/>
    </w:rPr>
  </w:style>
  <w:style w:type="paragraph" w:styleId="Heading9">
    <w:name w:val="heading 9"/>
    <w:basedOn w:val="Normal"/>
    <w:next w:val="Normal"/>
    <w:link w:val="Heading9Char"/>
    <w:qFormat/>
    <w:rsid w:val="00452A4F"/>
    <w:pPr>
      <w:ind w:left="720"/>
      <w:outlineLvl w:val="8"/>
    </w:pPr>
    <w:rPr>
      <w:i/>
    </w:rPr>
  </w:style>
  <w:style w:type="character" w:default="1" w:styleId="DefaultParagraphFont">
    <w:name w:val="Default Paragraph Font"/>
    <w:uiPriority w:val="1"/>
    <w:unhideWhenUsed/>
    <w:rsid w:val="00452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A4F"/>
  </w:style>
  <w:style w:type="character" w:customStyle="1" w:styleId="Heading1Char">
    <w:name w:val="Heading 1 Char"/>
    <w:basedOn w:val="DefaultParagraphFont"/>
    <w:link w:val="Heading1"/>
    <w:rsid w:val="00452A4F"/>
    <w:rPr>
      <w:rFonts w:ascii="Times New Roman" w:eastAsia="Times New Roman" w:hAnsi="Times New Roman" w:cs="Times New Roman"/>
      <w:b/>
      <w:sz w:val="32"/>
      <w:szCs w:val="20"/>
      <w:lang w:eastAsia="en-US"/>
    </w:rPr>
  </w:style>
  <w:style w:type="paragraph" w:styleId="BodyText">
    <w:name w:val="Body Text"/>
    <w:basedOn w:val="Normal"/>
    <w:link w:val="BodyTextChar"/>
    <w:rsid w:val="00452A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A4F"/>
    <w:rPr>
      <w:rFonts w:ascii="Times New Roman" w:eastAsia="Times New Roman" w:hAnsi="Times New Roman" w:cs="Times New Roman"/>
      <w:sz w:val="24"/>
      <w:lang w:eastAsia="en-US"/>
    </w:rPr>
  </w:style>
  <w:style w:type="paragraph" w:styleId="ListBullet">
    <w:name w:val="List Bullet"/>
    <w:basedOn w:val="List"/>
    <w:rsid w:val="00452A4F"/>
    <w:pPr>
      <w:numPr>
        <w:numId w:val="12"/>
      </w:numPr>
      <w:tabs>
        <w:tab w:val="clear" w:pos="340"/>
      </w:tabs>
      <w:spacing w:before="40" w:after="40"/>
    </w:pPr>
  </w:style>
  <w:style w:type="character" w:customStyle="1" w:styleId="SpecialBold">
    <w:name w:val="Special Bold"/>
    <w:basedOn w:val="DefaultParagraphFont"/>
    <w:rsid w:val="00452A4F"/>
    <w:rPr>
      <w:b/>
      <w:spacing w:val="0"/>
    </w:rPr>
  </w:style>
  <w:style w:type="paragraph" w:styleId="ListBullet2">
    <w:name w:val="List Bullet 2"/>
    <w:basedOn w:val="List2"/>
    <w:rsid w:val="00452A4F"/>
    <w:pPr>
      <w:numPr>
        <w:numId w:val="13"/>
      </w:numPr>
      <w:tabs>
        <w:tab w:val="clear" w:pos="680"/>
      </w:tabs>
    </w:pPr>
  </w:style>
  <w:style w:type="character" w:styleId="Emphasis">
    <w:name w:val="Emphasis"/>
    <w:basedOn w:val="DefaultParagraphFont"/>
    <w:qFormat/>
    <w:rsid w:val="00452A4F"/>
    <w:rPr>
      <w:i/>
    </w:rPr>
  </w:style>
  <w:style w:type="paragraph" w:customStyle="1" w:styleId="SuperHeading">
    <w:name w:val="SuperHeading"/>
    <w:basedOn w:val="Normal"/>
    <w:rsid w:val="00452A4F"/>
    <w:pPr>
      <w:spacing w:before="240" w:after="120"/>
      <w:outlineLvl w:val="0"/>
    </w:pPr>
    <w:rPr>
      <w:rFonts w:ascii="Times New Roman" w:hAnsi="Times New Roman"/>
      <w:b/>
      <w:sz w:val="32"/>
    </w:rPr>
  </w:style>
  <w:style w:type="paragraph" w:customStyle="1" w:styleId="AllowPageBreak">
    <w:name w:val="AllowPageBreak"/>
    <w:rsid w:val="00452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A4F"/>
    <w:rPr>
      <w:rFonts w:ascii="Courier New" w:eastAsia="Times New Roman" w:hAnsi="Courier New" w:cs="Times New Roman"/>
      <w:i/>
      <w:szCs w:val="20"/>
      <w:lang w:eastAsia="en-US"/>
    </w:rPr>
  </w:style>
  <w:style w:type="paragraph" w:customStyle="1" w:styleId="HeadingBase">
    <w:name w:val="Heading Base"/>
    <w:rsid w:val="00452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A4F"/>
    <w:pPr>
      <w:tabs>
        <w:tab w:val="right" w:leader="dot" w:pos="9072"/>
      </w:tabs>
      <w:ind w:left="567"/>
    </w:pPr>
    <w:rPr>
      <w:szCs w:val="22"/>
    </w:rPr>
  </w:style>
  <w:style w:type="paragraph" w:customStyle="1" w:styleId="TOCBase">
    <w:name w:val="TOC Base"/>
    <w:rsid w:val="00452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A4F"/>
    <w:pPr>
      <w:tabs>
        <w:tab w:val="right" w:leader="dot" w:pos="9072"/>
      </w:tabs>
      <w:spacing w:before="40" w:after="40"/>
      <w:ind w:left="284"/>
    </w:pPr>
    <w:rPr>
      <w:rFonts w:ascii="Times New Roman" w:hAnsi="Times New Roman"/>
    </w:rPr>
  </w:style>
  <w:style w:type="paragraph" w:styleId="TOC1">
    <w:name w:val="toc 1"/>
    <w:basedOn w:val="TOCBase"/>
    <w:next w:val="Normal"/>
    <w:rsid w:val="00452A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A4F"/>
    <w:rPr>
      <w:rFonts w:ascii="Times New Roman" w:eastAsia="Times New Roman" w:hAnsi="Times New Roman" w:cs="Times New Roman"/>
      <w:sz w:val="16"/>
      <w:lang w:eastAsia="en-US"/>
    </w:rPr>
  </w:style>
  <w:style w:type="paragraph" w:styleId="Title">
    <w:name w:val="Title"/>
    <w:basedOn w:val="HeadingBase"/>
    <w:link w:val="TitleChar"/>
    <w:qFormat/>
    <w:rsid w:val="00452A4F"/>
    <w:pPr>
      <w:spacing w:before="5040"/>
      <w:jc w:val="center"/>
    </w:pPr>
    <w:rPr>
      <w:sz w:val="48"/>
      <w:szCs w:val="72"/>
      <w:lang w:val="en-US"/>
    </w:rPr>
  </w:style>
  <w:style w:type="character" w:customStyle="1" w:styleId="TitleChar">
    <w:name w:val="Title Char"/>
    <w:basedOn w:val="DefaultParagraphFont"/>
    <w:link w:val="Title"/>
    <w:rsid w:val="00452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A4F"/>
    <w:pPr>
      <w:tabs>
        <w:tab w:val="left" w:pos="3600"/>
        <w:tab w:val="left" w:pos="3958"/>
      </w:tabs>
    </w:pPr>
  </w:style>
  <w:style w:type="paragraph" w:styleId="List">
    <w:name w:val="List"/>
    <w:basedOn w:val="BodyText"/>
    <w:next w:val="BodyText"/>
    <w:rsid w:val="00452A4F"/>
    <w:pPr>
      <w:tabs>
        <w:tab w:val="left" w:pos="340"/>
      </w:tabs>
      <w:spacing w:before="60" w:after="60"/>
      <w:ind w:left="340" w:hanging="340"/>
    </w:pPr>
  </w:style>
  <w:style w:type="paragraph" w:customStyle="1" w:styleId="Note">
    <w:name w:val="Note"/>
    <w:basedOn w:val="BodyText"/>
    <w:rsid w:val="00452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A4F"/>
    <w:pPr>
      <w:framePr w:wrap="auto" w:hAnchor="text" w:y="6049"/>
    </w:pPr>
    <w:rPr>
      <w:color w:val="000000"/>
      <w:sz w:val="40"/>
    </w:rPr>
  </w:style>
  <w:style w:type="paragraph" w:customStyle="1" w:styleId="TOCTitle">
    <w:name w:val="TOCTitle"/>
    <w:basedOn w:val="Heading1"/>
    <w:rsid w:val="00452A4F"/>
    <w:pPr>
      <w:spacing w:after="240"/>
      <w:jc w:val="center"/>
      <w:outlineLvl w:val="9"/>
    </w:pPr>
    <w:rPr>
      <w:caps/>
    </w:rPr>
  </w:style>
  <w:style w:type="paragraph" w:customStyle="1" w:styleId="Version">
    <w:name w:val="Version"/>
    <w:rsid w:val="00452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A4F"/>
    <w:pPr>
      <w:keepNext w:val="0"/>
      <w:tabs>
        <w:tab w:val="right" w:pos="4176"/>
      </w:tabs>
      <w:ind w:left="198" w:hanging="198"/>
    </w:pPr>
    <w:rPr>
      <w:rFonts w:ascii="Garamond" w:hAnsi="Garamond"/>
    </w:rPr>
  </w:style>
  <w:style w:type="paragraph" w:styleId="IndexHeading">
    <w:name w:val="index heading"/>
    <w:basedOn w:val="Normal"/>
    <w:next w:val="Index1"/>
    <w:semiHidden/>
    <w:rsid w:val="00452A4F"/>
    <w:pPr>
      <w:spacing w:before="120" w:after="120"/>
    </w:pPr>
    <w:rPr>
      <w:rFonts w:ascii="Arial" w:hAnsi="Arial"/>
      <w:b/>
      <w:color w:val="918585"/>
      <w:sz w:val="24"/>
    </w:rPr>
  </w:style>
  <w:style w:type="paragraph" w:styleId="Header">
    <w:name w:val="header"/>
    <w:basedOn w:val="Normal"/>
    <w:link w:val="HeaderChar"/>
    <w:rsid w:val="00452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A4F"/>
    <w:rPr>
      <w:rFonts w:ascii="Times New Roman" w:eastAsia="Times New Roman" w:hAnsi="Times New Roman" w:cs="Times New Roman"/>
      <w:sz w:val="16"/>
      <w:szCs w:val="20"/>
      <w:lang w:val="en-GB" w:eastAsia="en-US"/>
    </w:rPr>
  </w:style>
  <w:style w:type="paragraph" w:customStyle="1" w:styleId="Chapter">
    <w:name w:val="Chapter"/>
    <w:basedOn w:val="Normal"/>
    <w:rsid w:val="00452A4F"/>
    <w:pPr>
      <w:spacing w:before="240"/>
    </w:pPr>
    <w:rPr>
      <w:rFonts w:ascii="Times New Roman" w:hAnsi="Times New Roman"/>
      <w:smallCaps/>
      <w:spacing w:val="80"/>
      <w:sz w:val="28"/>
    </w:rPr>
  </w:style>
  <w:style w:type="paragraph" w:customStyle="1" w:styleId="InChapter">
    <w:name w:val="InChapter"/>
    <w:basedOn w:val="Heading3"/>
    <w:rsid w:val="00452A4F"/>
    <w:pPr>
      <w:spacing w:after="240"/>
      <w:outlineLvl w:val="9"/>
    </w:pPr>
    <w:rPr>
      <w:noProof/>
    </w:rPr>
  </w:style>
  <w:style w:type="paragraph" w:styleId="Index2">
    <w:name w:val="index 2"/>
    <w:basedOn w:val="Normal"/>
    <w:next w:val="Normal"/>
    <w:semiHidden/>
    <w:rsid w:val="00452A4F"/>
    <w:pPr>
      <w:tabs>
        <w:tab w:val="right" w:pos="4176"/>
      </w:tabs>
      <w:ind w:left="568" w:hanging="284"/>
    </w:pPr>
    <w:rPr>
      <w:rFonts w:ascii="Garamond" w:hAnsi="Garamond"/>
    </w:rPr>
  </w:style>
  <w:style w:type="paragraph" w:customStyle="1" w:styleId="Byline">
    <w:name w:val="Byline"/>
    <w:rsid w:val="00452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A4F"/>
    <w:pPr>
      <w:tabs>
        <w:tab w:val="clear" w:pos="3600"/>
        <w:tab w:val="clear" w:pos="3958"/>
      </w:tabs>
      <w:jc w:val="right"/>
    </w:pPr>
  </w:style>
  <w:style w:type="paragraph" w:styleId="Caption">
    <w:name w:val="caption"/>
    <w:basedOn w:val="BodyText"/>
    <w:next w:val="Normal"/>
    <w:qFormat/>
    <w:rsid w:val="00452A4F"/>
    <w:pPr>
      <w:framePr w:w="2268" w:hSpace="181" w:vSpace="181" w:wrap="around" w:vAnchor="text" w:hAnchor="page" w:x="1135" w:y="285" w:anchorLock="1"/>
    </w:pPr>
    <w:rPr>
      <w:i/>
    </w:rPr>
  </w:style>
  <w:style w:type="paragraph" w:customStyle="1" w:styleId="MiniTOCTitle">
    <w:name w:val="MiniTOCTitle"/>
    <w:basedOn w:val="Heading4"/>
    <w:rsid w:val="00452A4F"/>
    <w:pPr>
      <w:spacing w:before="240"/>
      <w:outlineLvl w:val="9"/>
    </w:pPr>
    <w:rPr>
      <w:noProof/>
      <w:sz w:val="24"/>
    </w:rPr>
  </w:style>
  <w:style w:type="paragraph" w:customStyle="1" w:styleId="MiniTOCItem">
    <w:name w:val="MiniTOCItem"/>
    <w:basedOn w:val="ListBullet"/>
    <w:rsid w:val="00452A4F"/>
    <w:pPr>
      <w:numPr>
        <w:numId w:val="0"/>
      </w:numPr>
      <w:tabs>
        <w:tab w:val="right" w:leader="dot" w:pos="6521"/>
      </w:tabs>
      <w:spacing w:before="0" w:after="0"/>
    </w:pPr>
  </w:style>
  <w:style w:type="paragraph" w:customStyle="1" w:styleId="TOFTitle">
    <w:name w:val="TOFTitle"/>
    <w:basedOn w:val="TOCTitle"/>
    <w:rsid w:val="00452A4F"/>
  </w:style>
  <w:style w:type="paragraph" w:styleId="TableofFigures">
    <w:name w:val="table of figures"/>
    <w:basedOn w:val="Normal"/>
    <w:next w:val="Normal"/>
    <w:semiHidden/>
    <w:rsid w:val="00452A4F"/>
    <w:pPr>
      <w:tabs>
        <w:tab w:val="right" w:leader="dot" w:pos="9072"/>
      </w:tabs>
      <w:ind w:left="970" w:hanging="403"/>
    </w:pPr>
    <w:rPr>
      <w:rFonts w:ascii="Times New Roman" w:hAnsi="Times New Roman"/>
      <w:b/>
    </w:rPr>
  </w:style>
  <w:style w:type="paragraph" w:styleId="ListNumber">
    <w:name w:val="List Number"/>
    <w:basedOn w:val="List"/>
    <w:rsid w:val="00452A4F"/>
    <w:pPr>
      <w:numPr>
        <w:numId w:val="15"/>
      </w:numPr>
      <w:tabs>
        <w:tab w:val="clear" w:pos="340"/>
      </w:tabs>
    </w:pPr>
  </w:style>
  <w:style w:type="character" w:customStyle="1" w:styleId="WingdingSymbols">
    <w:name w:val="Wingding Symbols"/>
    <w:rsid w:val="00452A4F"/>
    <w:rPr>
      <w:rFonts w:ascii="Wingdings" w:hAnsi="Wingdings"/>
    </w:rPr>
  </w:style>
  <w:style w:type="paragraph" w:customStyle="1" w:styleId="TableHeading">
    <w:name w:val="Table Heading"/>
    <w:basedOn w:val="HeadingBase"/>
    <w:rsid w:val="00452A4F"/>
    <w:pPr>
      <w:keepLines/>
      <w:pBdr>
        <w:bottom w:val="single" w:sz="6" w:space="1" w:color="918585"/>
      </w:pBdr>
      <w:spacing w:before="240"/>
    </w:pPr>
  </w:style>
  <w:style w:type="character" w:customStyle="1" w:styleId="HotSpot">
    <w:name w:val="HotSpot"/>
    <w:rsid w:val="00452A4F"/>
    <w:rPr>
      <w:color w:val="0033CC"/>
      <w:u w:val="none"/>
    </w:rPr>
  </w:style>
  <w:style w:type="paragraph" w:customStyle="1" w:styleId="BodyTextRight">
    <w:name w:val="Body Text Right"/>
    <w:basedOn w:val="BodyText"/>
    <w:rsid w:val="00452A4F"/>
    <w:pPr>
      <w:spacing w:before="0" w:after="0"/>
      <w:jc w:val="right"/>
    </w:pPr>
  </w:style>
  <w:style w:type="paragraph" w:styleId="Index3">
    <w:name w:val="index 3"/>
    <w:basedOn w:val="ListNumber2"/>
    <w:next w:val="Normal"/>
    <w:semiHidden/>
    <w:rsid w:val="00452A4F"/>
    <w:pPr>
      <w:numPr>
        <w:numId w:val="0"/>
      </w:numPr>
      <w:tabs>
        <w:tab w:val="right" w:leader="dot" w:pos="4176"/>
      </w:tabs>
    </w:pPr>
  </w:style>
  <w:style w:type="paragraph" w:styleId="ListNumber2">
    <w:name w:val="List Number 2"/>
    <w:basedOn w:val="List2"/>
    <w:rsid w:val="00452A4F"/>
    <w:pPr>
      <w:numPr>
        <w:numId w:val="10"/>
      </w:numPr>
      <w:tabs>
        <w:tab w:val="clear" w:pos="1060"/>
      </w:tabs>
    </w:pPr>
  </w:style>
  <w:style w:type="paragraph" w:customStyle="1" w:styleId="MarginNote">
    <w:name w:val="Margin Note"/>
    <w:basedOn w:val="BodyText"/>
    <w:rsid w:val="00452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A4F"/>
    <w:rPr>
      <w:sz w:val="32"/>
    </w:rPr>
  </w:style>
  <w:style w:type="paragraph" w:customStyle="1" w:styleId="HeadingProcedure">
    <w:name w:val="Heading Procedure"/>
    <w:basedOn w:val="HeadingBase"/>
    <w:next w:val="Normal"/>
    <w:rsid w:val="00452A4F"/>
    <w:pPr>
      <w:tabs>
        <w:tab w:val="left" w:pos="0"/>
      </w:tabs>
      <w:spacing w:before="120" w:after="60"/>
    </w:pPr>
    <w:rPr>
      <w:i/>
      <w:color w:val="918585"/>
      <w:sz w:val="22"/>
    </w:rPr>
  </w:style>
  <w:style w:type="paragraph" w:customStyle="1" w:styleId="TableBodyText">
    <w:name w:val="Table Body Text"/>
    <w:basedOn w:val="BodyText"/>
    <w:rsid w:val="00452A4F"/>
    <w:pPr>
      <w:spacing w:before="60" w:after="60"/>
    </w:pPr>
  </w:style>
  <w:style w:type="paragraph" w:styleId="ListContinue">
    <w:name w:val="List Continue"/>
    <w:basedOn w:val="List"/>
    <w:rsid w:val="00452A4F"/>
    <w:pPr>
      <w:ind w:firstLine="0"/>
    </w:pPr>
  </w:style>
  <w:style w:type="paragraph" w:customStyle="1" w:styleId="ListNote">
    <w:name w:val="List Note"/>
    <w:basedOn w:val="List"/>
    <w:rsid w:val="00452A4F"/>
    <w:pPr>
      <w:pBdr>
        <w:top w:val="single" w:sz="6" w:space="2" w:color="918585"/>
        <w:bottom w:val="single" w:sz="6" w:space="2" w:color="918585"/>
      </w:pBdr>
      <w:tabs>
        <w:tab w:val="left" w:pos="1021"/>
      </w:tabs>
      <w:ind w:firstLine="0"/>
    </w:pPr>
  </w:style>
  <w:style w:type="paragraph" w:customStyle="1" w:styleId="Warning">
    <w:name w:val="Warning"/>
    <w:basedOn w:val="BodyText"/>
    <w:rsid w:val="00452A4F"/>
    <w:pPr>
      <w:shd w:val="clear" w:color="auto" w:fill="D9D9D9"/>
      <w:tabs>
        <w:tab w:val="left" w:pos="992"/>
      </w:tabs>
      <w:ind w:left="119" w:right="119"/>
    </w:pPr>
    <w:rPr>
      <w:sz w:val="20"/>
    </w:rPr>
  </w:style>
  <w:style w:type="paragraph" w:customStyle="1" w:styleId="MarginIcons">
    <w:name w:val="Margin Icons"/>
    <w:basedOn w:val="BodyText"/>
    <w:rsid w:val="00452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A4F"/>
    <w:rPr>
      <w:rFonts w:ascii="Courier New" w:hAnsi="Courier New"/>
    </w:rPr>
  </w:style>
  <w:style w:type="paragraph" w:customStyle="1" w:styleId="NoteBullet">
    <w:name w:val="Note Bullet"/>
    <w:basedOn w:val="Note"/>
    <w:rsid w:val="00452A4F"/>
    <w:pPr>
      <w:tabs>
        <w:tab w:val="clear" w:pos="680"/>
      </w:tabs>
      <w:spacing w:before="60" w:after="60"/>
    </w:pPr>
  </w:style>
  <w:style w:type="paragraph" w:customStyle="1" w:styleId="SubHeading2">
    <w:name w:val="SubHeading2"/>
    <w:basedOn w:val="HeadingBase"/>
    <w:rsid w:val="00452A4F"/>
    <w:pPr>
      <w:spacing w:before="240" w:after="60"/>
    </w:pPr>
    <w:rPr>
      <w:sz w:val="20"/>
    </w:rPr>
  </w:style>
  <w:style w:type="paragraph" w:customStyle="1" w:styleId="SubHeading1">
    <w:name w:val="SubHeading1"/>
    <w:basedOn w:val="HeadingBase"/>
    <w:rsid w:val="00452A4F"/>
    <w:pPr>
      <w:spacing w:before="240" w:after="60"/>
    </w:pPr>
    <w:rPr>
      <w:color w:val="918585"/>
      <w:sz w:val="22"/>
    </w:rPr>
  </w:style>
  <w:style w:type="paragraph" w:customStyle="1" w:styleId="SideHeading">
    <w:name w:val="Side Heading"/>
    <w:basedOn w:val="HeadingBase"/>
    <w:rsid w:val="00452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A4F"/>
    <w:pPr>
      <w:tabs>
        <w:tab w:val="num" w:pos="360"/>
      </w:tabs>
    </w:pPr>
  </w:style>
  <w:style w:type="paragraph" w:styleId="PlainText">
    <w:name w:val="Plain Text"/>
    <w:basedOn w:val="Normal"/>
    <w:link w:val="PlainTextChar"/>
    <w:rsid w:val="00452A4F"/>
    <w:rPr>
      <w:sz w:val="20"/>
    </w:rPr>
  </w:style>
  <w:style w:type="character" w:customStyle="1" w:styleId="PlainTextChar">
    <w:name w:val="Plain Text Char"/>
    <w:basedOn w:val="DefaultParagraphFont"/>
    <w:link w:val="PlainText"/>
    <w:rsid w:val="00452A4F"/>
    <w:rPr>
      <w:rFonts w:ascii="Courier New" w:eastAsia="Times New Roman" w:hAnsi="Courier New" w:cs="Times New Roman"/>
      <w:sz w:val="20"/>
      <w:szCs w:val="20"/>
      <w:lang w:eastAsia="en-US"/>
    </w:rPr>
  </w:style>
  <w:style w:type="character" w:customStyle="1" w:styleId="MenuOption">
    <w:name w:val="Menu Option"/>
    <w:basedOn w:val="DefaultParagraphFont"/>
    <w:rsid w:val="00452A4F"/>
    <w:rPr>
      <w:b/>
      <w:smallCaps/>
    </w:rPr>
  </w:style>
  <w:style w:type="paragraph" w:customStyle="1" w:styleId="TableListNumber">
    <w:name w:val="Table List Number"/>
    <w:basedOn w:val="ListNumber"/>
    <w:rsid w:val="00452A4F"/>
    <w:pPr>
      <w:numPr>
        <w:numId w:val="0"/>
      </w:numPr>
    </w:pPr>
  </w:style>
  <w:style w:type="paragraph" w:styleId="TOC4">
    <w:name w:val="toc 4"/>
    <w:basedOn w:val="TOCBase"/>
    <w:next w:val="Normal"/>
    <w:semiHidden/>
    <w:rsid w:val="00452A4F"/>
    <w:pPr>
      <w:tabs>
        <w:tab w:val="right" w:leader="dot" w:pos="9071"/>
      </w:tabs>
      <w:ind w:left="1701"/>
    </w:pPr>
  </w:style>
  <w:style w:type="paragraph" w:customStyle="1" w:styleId="ListAlpha">
    <w:name w:val="List Alpha"/>
    <w:basedOn w:val="List"/>
    <w:rsid w:val="00452A4F"/>
    <w:pPr>
      <w:numPr>
        <w:numId w:val="9"/>
      </w:numPr>
    </w:pPr>
  </w:style>
  <w:style w:type="paragraph" w:customStyle="1" w:styleId="ListAlpha2">
    <w:name w:val="List Alpha 2"/>
    <w:basedOn w:val="List2"/>
    <w:rsid w:val="00452A4F"/>
    <w:pPr>
      <w:numPr>
        <w:numId w:val="8"/>
      </w:numPr>
    </w:pPr>
  </w:style>
  <w:style w:type="paragraph" w:styleId="List2">
    <w:name w:val="List 2"/>
    <w:basedOn w:val="BodyText"/>
    <w:rsid w:val="00452A4F"/>
    <w:pPr>
      <w:tabs>
        <w:tab w:val="left" w:pos="680"/>
      </w:tabs>
      <w:spacing w:before="60" w:after="60"/>
      <w:ind w:left="680" w:hanging="340"/>
    </w:pPr>
  </w:style>
  <w:style w:type="paragraph" w:styleId="List3">
    <w:name w:val="List 3"/>
    <w:basedOn w:val="BodyText"/>
    <w:rsid w:val="00452A4F"/>
    <w:pPr>
      <w:tabs>
        <w:tab w:val="left" w:pos="1021"/>
      </w:tabs>
      <w:spacing w:before="60" w:after="60"/>
      <w:ind w:left="1020" w:hanging="340"/>
    </w:pPr>
  </w:style>
  <w:style w:type="paragraph" w:styleId="List4">
    <w:name w:val="List 4"/>
    <w:basedOn w:val="BodyText"/>
    <w:rsid w:val="00452A4F"/>
    <w:pPr>
      <w:tabs>
        <w:tab w:val="left" w:pos="1361"/>
      </w:tabs>
      <w:spacing w:before="60" w:after="60"/>
      <w:ind w:left="1361" w:hanging="340"/>
    </w:pPr>
  </w:style>
  <w:style w:type="paragraph" w:styleId="List5">
    <w:name w:val="List 5"/>
    <w:basedOn w:val="BodyText"/>
    <w:rsid w:val="00452A4F"/>
    <w:pPr>
      <w:tabs>
        <w:tab w:val="left" w:pos="1701"/>
      </w:tabs>
      <w:spacing w:before="60" w:after="60"/>
      <w:ind w:left="1701" w:hanging="340"/>
    </w:pPr>
  </w:style>
  <w:style w:type="paragraph" w:styleId="ListBullet3">
    <w:name w:val="List Bullet 3"/>
    <w:basedOn w:val="List3"/>
    <w:rsid w:val="00452A4F"/>
    <w:pPr>
      <w:numPr>
        <w:numId w:val="14"/>
      </w:numPr>
      <w:tabs>
        <w:tab w:val="clear" w:pos="1021"/>
      </w:tabs>
      <w:ind w:left="1037" w:hanging="357"/>
    </w:pPr>
  </w:style>
  <w:style w:type="paragraph" w:styleId="ListBullet4">
    <w:name w:val="List Bullet 4"/>
    <w:basedOn w:val="List4"/>
    <w:rsid w:val="00452A4F"/>
    <w:pPr>
      <w:numPr>
        <w:numId w:val="3"/>
      </w:numPr>
      <w:tabs>
        <w:tab w:val="clear" w:pos="1361"/>
      </w:tabs>
    </w:pPr>
  </w:style>
  <w:style w:type="paragraph" w:styleId="ListBullet5">
    <w:name w:val="List Bullet 5"/>
    <w:basedOn w:val="List5"/>
    <w:rsid w:val="00452A4F"/>
    <w:pPr>
      <w:numPr>
        <w:numId w:val="4"/>
      </w:numPr>
    </w:pPr>
  </w:style>
  <w:style w:type="paragraph" w:styleId="ListContinue2">
    <w:name w:val="List Continue 2"/>
    <w:basedOn w:val="List2"/>
    <w:rsid w:val="00452A4F"/>
    <w:pPr>
      <w:ind w:firstLine="0"/>
    </w:pPr>
  </w:style>
  <w:style w:type="paragraph" w:styleId="ListContinue3">
    <w:name w:val="List Continue 3"/>
    <w:basedOn w:val="List3"/>
    <w:rsid w:val="00452A4F"/>
    <w:pPr>
      <w:ind w:left="1021" w:firstLine="0"/>
    </w:pPr>
  </w:style>
  <w:style w:type="paragraph" w:styleId="ListContinue4">
    <w:name w:val="List Continue 4"/>
    <w:basedOn w:val="List4"/>
    <w:rsid w:val="00452A4F"/>
    <w:pPr>
      <w:ind w:firstLine="0"/>
    </w:pPr>
  </w:style>
  <w:style w:type="paragraph" w:styleId="ListContinue5">
    <w:name w:val="List Continue 5"/>
    <w:basedOn w:val="List5"/>
    <w:rsid w:val="00452A4F"/>
    <w:pPr>
      <w:ind w:firstLine="0"/>
    </w:pPr>
  </w:style>
  <w:style w:type="paragraph" w:styleId="ListNumber3">
    <w:name w:val="List Number 3"/>
    <w:basedOn w:val="List3"/>
    <w:rsid w:val="00452A4F"/>
    <w:pPr>
      <w:numPr>
        <w:numId w:val="5"/>
      </w:numPr>
    </w:pPr>
  </w:style>
  <w:style w:type="paragraph" w:styleId="ListNumber4">
    <w:name w:val="List Number 4"/>
    <w:basedOn w:val="List4"/>
    <w:rsid w:val="00452A4F"/>
    <w:pPr>
      <w:numPr>
        <w:numId w:val="6"/>
      </w:numPr>
    </w:pPr>
  </w:style>
  <w:style w:type="paragraph" w:styleId="ListNumber5">
    <w:name w:val="List Number 5"/>
    <w:basedOn w:val="List5"/>
    <w:rsid w:val="00452A4F"/>
    <w:pPr>
      <w:numPr>
        <w:numId w:val="7"/>
      </w:numPr>
    </w:pPr>
  </w:style>
  <w:style w:type="paragraph" w:styleId="BlockText">
    <w:name w:val="Block Text"/>
    <w:basedOn w:val="Normal"/>
    <w:rsid w:val="00452A4F"/>
    <w:pPr>
      <w:spacing w:after="120"/>
      <w:ind w:left="1440" w:right="1440"/>
    </w:pPr>
  </w:style>
  <w:style w:type="character" w:customStyle="1" w:styleId="Subscript">
    <w:name w:val="Subscript"/>
    <w:basedOn w:val="DefaultParagraphFont"/>
    <w:rsid w:val="00452A4F"/>
    <w:rPr>
      <w:sz w:val="16"/>
      <w:vertAlign w:val="subscript"/>
    </w:rPr>
  </w:style>
  <w:style w:type="character" w:customStyle="1" w:styleId="Superscript">
    <w:name w:val="Superscript"/>
    <w:basedOn w:val="DefaultParagraphFont"/>
    <w:rsid w:val="00452A4F"/>
    <w:rPr>
      <w:sz w:val="16"/>
      <w:vertAlign w:val="superscript"/>
    </w:rPr>
  </w:style>
  <w:style w:type="character" w:customStyle="1" w:styleId="Symbols">
    <w:name w:val="Symbols"/>
    <w:basedOn w:val="DefaultParagraphFont"/>
    <w:rsid w:val="00452A4F"/>
    <w:rPr>
      <w:rFonts w:ascii="Symbol" w:hAnsi="Symbol"/>
    </w:rPr>
  </w:style>
  <w:style w:type="character" w:customStyle="1" w:styleId="MenuOptions">
    <w:name w:val="Menu Options"/>
    <w:basedOn w:val="DefaultParagraphFont"/>
    <w:rsid w:val="00452A4F"/>
    <w:rPr>
      <w:rFonts w:ascii="Arial Narrow" w:hAnsi="Arial Narrow"/>
      <w:smallCaps/>
    </w:rPr>
  </w:style>
  <w:style w:type="character" w:customStyle="1" w:styleId="Buttons">
    <w:name w:val="Buttons"/>
    <w:basedOn w:val="DefaultParagraphFont"/>
    <w:rsid w:val="00452A4F"/>
    <w:rPr>
      <w:b/>
    </w:rPr>
  </w:style>
  <w:style w:type="character" w:customStyle="1" w:styleId="Underlined">
    <w:name w:val="Underlined"/>
    <w:basedOn w:val="DefaultParagraphFont"/>
    <w:rsid w:val="00452A4F"/>
    <w:rPr>
      <w:u w:val="single"/>
    </w:rPr>
  </w:style>
  <w:style w:type="paragraph" w:customStyle="1" w:styleId="TableBodyTextRight">
    <w:name w:val="Table Body Text Right"/>
    <w:basedOn w:val="TableBodyText"/>
    <w:rsid w:val="00452A4F"/>
    <w:pPr>
      <w:widowControl w:val="0"/>
      <w:autoSpaceDE w:val="0"/>
      <w:autoSpaceDN w:val="0"/>
      <w:adjustRightInd w:val="0"/>
      <w:jc w:val="right"/>
    </w:pPr>
    <w:rPr>
      <w:rFonts w:cs="Arial"/>
      <w:szCs w:val="18"/>
    </w:rPr>
  </w:style>
  <w:style w:type="paragraph" w:customStyle="1" w:styleId="CopyrightText">
    <w:name w:val="Copyright Text"/>
    <w:basedOn w:val="BodyText"/>
    <w:rsid w:val="00452A4F"/>
    <w:rPr>
      <w:sz w:val="18"/>
    </w:rPr>
  </w:style>
  <w:style w:type="paragraph" w:customStyle="1" w:styleId="BodySmallRight">
    <w:name w:val="Body Small Right"/>
    <w:basedOn w:val="BodyTextRight"/>
    <w:rsid w:val="00452A4F"/>
    <w:rPr>
      <w:sz w:val="18"/>
      <w:szCs w:val="18"/>
    </w:rPr>
  </w:style>
  <w:style w:type="paragraph" w:customStyle="1" w:styleId="MarginEdition">
    <w:name w:val="Margin Edition"/>
    <w:basedOn w:val="MarginNote"/>
    <w:rsid w:val="00452A4F"/>
    <w:pPr>
      <w:spacing w:before="0" w:after="0"/>
    </w:pPr>
    <w:rPr>
      <w:rFonts w:ascii="Times New Roman" w:hAnsi="Times New Roman"/>
      <w:color w:val="999999"/>
    </w:rPr>
  </w:style>
  <w:style w:type="paragraph" w:customStyle="1" w:styleId="Spacer">
    <w:name w:val="Spacer"/>
    <w:basedOn w:val="Normal"/>
    <w:rsid w:val="00452A4F"/>
    <w:rPr>
      <w:sz w:val="2"/>
      <w:szCs w:val="2"/>
    </w:rPr>
  </w:style>
  <w:style w:type="character" w:customStyle="1" w:styleId="Small">
    <w:name w:val="Small"/>
    <w:basedOn w:val="DefaultParagraphFont"/>
    <w:rsid w:val="00452A4F"/>
    <w:rPr>
      <w:sz w:val="16"/>
    </w:rPr>
  </w:style>
  <w:style w:type="paragraph" w:customStyle="1" w:styleId="WideTable">
    <w:name w:val="Wide Table"/>
    <w:basedOn w:val="Normal"/>
    <w:rsid w:val="00452A4F"/>
    <w:pPr>
      <w:ind w:left="-1418"/>
    </w:pPr>
    <w:rPr>
      <w:sz w:val="2"/>
      <w:szCs w:val="2"/>
    </w:rPr>
  </w:style>
  <w:style w:type="character" w:styleId="PageNumber">
    <w:name w:val="page number"/>
    <w:basedOn w:val="DefaultParagraphFont"/>
    <w:rsid w:val="00452A4F"/>
  </w:style>
  <w:style w:type="paragraph" w:styleId="Quote">
    <w:name w:val="Quote"/>
    <w:basedOn w:val="Heading1"/>
    <w:link w:val="QuoteChar"/>
    <w:qFormat/>
    <w:rsid w:val="00452A4F"/>
    <w:rPr>
      <w:b w:val="0"/>
      <w:sz w:val="72"/>
      <w:szCs w:val="72"/>
      <w:lang w:val="en-NZ"/>
    </w:rPr>
  </w:style>
  <w:style w:type="character" w:customStyle="1" w:styleId="QuoteChar">
    <w:name w:val="Quote Char"/>
    <w:basedOn w:val="DefaultParagraphFont"/>
    <w:link w:val="Quote"/>
    <w:rsid w:val="00452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A4F"/>
    <w:pPr>
      <w:pageBreakBefore/>
    </w:pPr>
  </w:style>
  <w:style w:type="paragraph" w:customStyle="1" w:styleId="Border">
    <w:name w:val="Border"/>
    <w:basedOn w:val="Normal"/>
    <w:qFormat/>
    <w:rsid w:val="00452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A4F"/>
    <w:rPr>
      <w:b/>
      <w:bCs/>
      <w:i/>
      <w:iCs/>
      <w:color w:val="auto"/>
    </w:rPr>
  </w:style>
  <w:style w:type="paragraph" w:styleId="IntenseQuote">
    <w:name w:val="Intense Quote"/>
    <w:basedOn w:val="Normal"/>
    <w:next w:val="Normal"/>
    <w:link w:val="IntenseQuoteChar"/>
    <w:uiPriority w:val="30"/>
    <w:qFormat/>
    <w:rsid w:val="00452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A4F"/>
    <w:rPr>
      <w:smallCaps/>
      <w:color w:val="auto"/>
      <w:u w:val="single"/>
    </w:rPr>
  </w:style>
  <w:style w:type="character" w:styleId="IntenseReference">
    <w:name w:val="Intense Reference"/>
    <w:basedOn w:val="DefaultParagraphFont"/>
    <w:uiPriority w:val="32"/>
    <w:qFormat/>
    <w:rsid w:val="00452A4F"/>
    <w:rPr>
      <w:b/>
      <w:bCs/>
      <w:smallCaps/>
      <w:color w:val="auto"/>
      <w:spacing w:val="5"/>
      <w:u w:val="single"/>
    </w:rPr>
  </w:style>
  <w:style w:type="paragraph" w:customStyle="1" w:styleId="2ColumnHeading">
    <w:name w:val="2Column Heading"/>
    <w:basedOn w:val="BodyText"/>
    <w:qFormat/>
    <w:rsid w:val="00452A4F"/>
    <w:pPr>
      <w:spacing w:after="60"/>
      <w:ind w:left="-2268"/>
    </w:pPr>
    <w:rPr>
      <w:b/>
    </w:rPr>
  </w:style>
  <w:style w:type="paragraph" w:customStyle="1" w:styleId="Heading1TOC">
    <w:name w:val="Heading1 TOC"/>
    <w:basedOn w:val="Normal"/>
    <w:qFormat/>
    <w:rsid w:val="00452A4F"/>
    <w:pPr>
      <w:spacing w:before="240" w:after="120"/>
    </w:pPr>
    <w:rPr>
      <w:rFonts w:ascii="Times New Roman" w:hAnsi="Times New Roman"/>
      <w:b/>
      <w:sz w:val="32"/>
    </w:rPr>
  </w:style>
  <w:style w:type="paragraph" w:customStyle="1" w:styleId="Heading2TOC">
    <w:name w:val="Heading2 TOC"/>
    <w:basedOn w:val="Normal"/>
    <w:qFormat/>
    <w:rsid w:val="00452A4F"/>
    <w:pPr>
      <w:spacing w:before="240" w:after="60"/>
    </w:pPr>
    <w:rPr>
      <w:rFonts w:ascii="Times New Roman" w:hAnsi="Times New Roman"/>
      <w:b/>
      <w:sz w:val="28"/>
    </w:rPr>
  </w:style>
  <w:style w:type="character" w:customStyle="1" w:styleId="Underline">
    <w:name w:val="Underline"/>
    <w:basedOn w:val="DefaultParagraphFont"/>
    <w:qFormat/>
    <w:rsid w:val="00452A4F"/>
    <w:rPr>
      <w:u w:val="single"/>
    </w:rPr>
  </w:style>
  <w:style w:type="character" w:customStyle="1" w:styleId="BoldandItalics">
    <w:name w:val="Bold and Italics"/>
    <w:qFormat/>
    <w:rsid w:val="00452A4F"/>
    <w:rPr>
      <w:b/>
      <w:i/>
      <w:u w:val="none"/>
    </w:rPr>
  </w:style>
  <w:style w:type="paragraph" w:styleId="BalloonText">
    <w:name w:val="Balloon Text"/>
    <w:basedOn w:val="Normal"/>
    <w:link w:val="BalloonTextChar"/>
    <w:rsid w:val="00452A4F"/>
    <w:rPr>
      <w:rFonts w:ascii="Tahoma" w:hAnsi="Tahoma" w:cs="Tahoma"/>
      <w:sz w:val="16"/>
      <w:szCs w:val="16"/>
    </w:rPr>
  </w:style>
  <w:style w:type="character" w:customStyle="1" w:styleId="BalloonTextChar">
    <w:name w:val="Balloon Text Char"/>
    <w:basedOn w:val="DefaultParagraphFont"/>
    <w:link w:val="BalloonText"/>
    <w:rsid w:val="00452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A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A4F"/>
    <w:rPr>
      <w:b/>
      <w:color w:val="660033"/>
      <w:spacing w:val="0"/>
    </w:rPr>
  </w:style>
  <w:style w:type="paragraph" w:customStyle="1" w:styleId="Nameditemlist">
    <w:name w:val="Named item list"/>
    <w:basedOn w:val="BodyText"/>
    <w:qFormat/>
    <w:rsid w:val="00452A4F"/>
    <w:pPr>
      <w:tabs>
        <w:tab w:val="left" w:pos="2835"/>
      </w:tabs>
      <w:ind w:left="2835" w:hanging="2835"/>
    </w:pPr>
  </w:style>
  <w:style w:type="paragraph" w:customStyle="1" w:styleId="BodyTextnopadding">
    <w:name w:val="Body Text no padding"/>
    <w:basedOn w:val="BodyText"/>
    <w:qFormat/>
    <w:rsid w:val="00452A4F"/>
    <w:pPr>
      <w:spacing w:before="0" w:after="0"/>
    </w:pPr>
  </w:style>
  <w:style w:type="paragraph" w:customStyle="1" w:styleId="BodyTextBold">
    <w:name w:val="Body Text Bold"/>
    <w:basedOn w:val="BodyText"/>
    <w:qFormat/>
    <w:rsid w:val="00452A4F"/>
    <w:rPr>
      <w:b/>
    </w:rPr>
  </w:style>
  <w:style w:type="character" w:styleId="Hyperlink">
    <w:name w:val="Hyperlink"/>
    <w:basedOn w:val="DefaultParagraphFont"/>
    <w:uiPriority w:val="99"/>
    <w:unhideWhenUsed/>
    <w:rsid w:val="00A65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5696</Characters>
  <Application>Microsoft Office Word</Application>
  <DocSecurity>0</DocSecurity>
  <Lines>183</Lines>
  <Paragraphs>119</Paragraphs>
  <ScaleCrop>false</ScaleCrop>
  <Company>Author-it Software Corporation Ltd.</Company>
  <LinksUpToDate>false</LinksUpToDate>
  <CharactersWithSpaces>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TLIF5021 Apply rail safeworking rules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