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6AB" w:rsidP="005C0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TLIF5020 Manage emergencies</w:t>
      </w:r>
      <w:r>
        <w:fldChar w:fldCharType="end"/>
      </w:r>
    </w:p>
    <w:p w:rsidR="005C06AB" w:rsidP="005C06AB">
      <w:pPr>
        <w:pStyle w:val="Version"/>
        <w:sectPr w:rsidSect="00EF7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73D0" w:rsidP="00EF73D0">
      <w:pPr>
        <w:pStyle w:val="SuperHeading"/>
      </w:pPr>
      <w:r w:rsidRPr="00EF73D0">
        <w:t>TLIF5020 Manage emergencies</w:t>
      </w:r>
    </w:p>
    <w:p w:rsidR="00000000" w:rsidRPr="00EF73D0" w:rsidP="00EF73D0">
      <w:pPr>
        <w:pStyle w:val="Heading1"/>
      </w:pPr>
      <w:bookmarkStart w:id="1" w:name="O_1067335"/>
      <w:bookmarkEnd w:id="1"/>
      <w:r w:rsidRPr="00EF73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7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 xml:space="preserve">Release 2. </w:t>
            </w:r>
            <w:r w:rsidRPr="00EF73D0">
              <w:t>This is the second release of this unit of competency in the TLI Transport and Logistics Training Package:</w:t>
            </w:r>
          </w:p>
          <w:p w:rsidR="00000000" w:rsidRPr="00EF73D0" w:rsidP="00EF73D0">
            <w:pPr>
              <w:pStyle w:val="ListBullet"/>
            </w:pPr>
            <w:r w:rsidRPr="00EF73D0">
              <w:t>Minor wording changes and reordering in Knowledge Evidence</w:t>
            </w:r>
          </w:p>
          <w:p w:rsidR="00000000" w:rsidP="00EF73D0">
            <w:pPr>
              <w:pStyle w:val="ListBullet"/>
              <w:rPr>
                <w:lang w:val="en-NZ"/>
              </w:rPr>
            </w:pPr>
            <w:r w:rsidRPr="00EF73D0">
              <w:t>Minor statement changes in Assessment Conditions.</w:t>
            </w:r>
          </w:p>
        </w:tc>
      </w:tr>
      <w:tr w:rsidTr="00EF7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Releas</w:t>
            </w:r>
            <w:r w:rsidRPr="00EF73D0">
              <w:rPr>
                <w:rStyle w:val="SpecialBold"/>
              </w:rPr>
              <w:t xml:space="preserve">e 1. </w:t>
            </w:r>
            <w:r w:rsidRPr="00EF73D0">
              <w:t>This is the first release of this unit of competency in the TLI Transport and Logistics Training Package.</w:t>
            </w:r>
          </w:p>
        </w:tc>
      </w:tr>
    </w:tbl>
    <w:p w:rsidR="00000000" w:rsidRPr="00EF73D0" w:rsidP="00EF73D0">
      <w:pPr>
        <w:pStyle w:val="NoPaddingFontSize1"/>
      </w:pPr>
    </w:p>
    <w:p w:rsidR="00000000" w:rsidRPr="00EF73D0" w:rsidP="00EF73D0">
      <w:pPr>
        <w:pStyle w:val="AllowPageBreak"/>
      </w:pPr>
    </w:p>
    <w:p w:rsidR="00000000" w:rsidRPr="00EF73D0" w:rsidP="00EF73D0">
      <w:pPr>
        <w:pStyle w:val="Heading1"/>
      </w:pPr>
      <w:bookmarkStart w:id="2" w:name="O_1067334"/>
      <w:bookmarkEnd w:id="2"/>
      <w:r w:rsidRPr="00EF73D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73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t>This unit involves the skills and knowledge required to manage emergencies as part of work activities undertaken</w:t>
            </w:r>
            <w:r w:rsidRPr="00EF73D0">
              <w:t xml:space="preserve"> in the transport and logistics industry, in accordance with regulatory requirements, relevant codes of practice and workplace procedures.</w:t>
            </w:r>
          </w:p>
          <w:p w:rsidR="00000000" w:rsidRPr="00EF73D0" w:rsidP="00EF73D0">
            <w:pPr>
              <w:pStyle w:val="BodyText"/>
            </w:pPr>
            <w:r w:rsidRPr="00EF73D0">
              <w:t>It includes identifying and responding to emergency situations, taking required action during an emergency, arranging</w:t>
            </w:r>
            <w:r w:rsidRPr="00EF73D0">
              <w:t xml:space="preserve"> follow-on support and assistance, and communicating with staff.</w:t>
            </w:r>
          </w:p>
          <w:p w:rsidR="00000000" w:rsidRPr="00EF73D0" w:rsidP="00EF73D0">
            <w:pPr>
              <w:pStyle w:val="BodyText"/>
            </w:pPr>
            <w:r w:rsidRPr="00EF73D0">
              <w:t>Work is performed under some supervision generally within a team environment.</w:t>
            </w:r>
          </w:p>
          <w:p w:rsidR="00000000" w:rsidRPr="00EF73D0" w:rsidP="00EF73D0">
            <w:pPr>
              <w:pStyle w:val="BodyText"/>
            </w:pPr>
            <w:r w:rsidRPr="00EF73D0">
              <w:t>No licensing, legislative or certification requirements apply to this unit at the time of publication.</w:t>
            </w:r>
          </w:p>
        </w:tc>
      </w:tr>
    </w:tbl>
    <w:p w:rsidR="00000000" w:rsidRPr="00EF73D0" w:rsidP="00EF73D0">
      <w:pPr>
        <w:pStyle w:val="NoPaddingFontSize1"/>
      </w:pPr>
    </w:p>
    <w:p w:rsidR="00000000" w:rsidRPr="00EF73D0" w:rsidP="00EF73D0">
      <w:pPr>
        <w:pStyle w:val="AllowPageBreak"/>
      </w:pPr>
    </w:p>
    <w:p w:rsidR="00000000" w:rsidRPr="00EF73D0" w:rsidP="00EF73D0">
      <w:pPr>
        <w:pStyle w:val="Heading1"/>
      </w:pPr>
      <w:bookmarkStart w:id="3" w:name="O_1067333"/>
      <w:bookmarkEnd w:id="3"/>
      <w:r w:rsidRPr="00EF73D0">
        <w:t>Pre-requisite Unit</w:t>
      </w:r>
    </w:p>
    <w:p w:rsidR="00000000" w:rsidRPr="00EF73D0" w:rsidP="005C06AB">
      <w:pPr>
        <w:pStyle w:val="BodyText"/>
      </w:pPr>
      <w:r w:rsidRPr="00EF73D0">
        <w:t>Not applicable.</w:t>
      </w:r>
    </w:p>
    <w:p w:rsidR="00000000" w:rsidRPr="00EF73D0" w:rsidP="00EF73D0">
      <w:pPr>
        <w:pStyle w:val="Heading1"/>
      </w:pPr>
      <w:bookmarkStart w:id="4" w:name="O_1067332"/>
      <w:bookmarkEnd w:id="4"/>
      <w:r w:rsidRPr="00EF73D0">
        <w:t>Competency Field</w:t>
      </w:r>
    </w:p>
    <w:p w:rsidR="00000000" w:rsidRPr="00EF73D0" w:rsidP="005C06AB">
      <w:pPr>
        <w:pStyle w:val="BodyText"/>
      </w:pPr>
      <w:r w:rsidRPr="00EF73D0">
        <w:t>F ‒ Safety Management</w:t>
      </w:r>
    </w:p>
    <w:p w:rsidR="00000000" w:rsidRPr="00EF73D0" w:rsidP="00EF73D0">
      <w:pPr>
        <w:pStyle w:val="Heading1"/>
      </w:pPr>
      <w:bookmarkStart w:id="5" w:name="O_1067331"/>
      <w:bookmarkEnd w:id="5"/>
      <w:r w:rsidRPr="00EF73D0">
        <w:t>Unit Sector</w:t>
      </w:r>
    </w:p>
    <w:p w:rsidR="00000000" w:rsidRPr="00EF73D0" w:rsidP="005C06AB">
      <w:pPr>
        <w:pStyle w:val="BodyText"/>
      </w:pPr>
      <w:r w:rsidRPr="00EF73D0">
        <w:t>Not applicable.</w:t>
      </w:r>
    </w:p>
    <w:p w:rsidR="00000000" w:rsidRPr="00EF73D0" w:rsidP="00EF73D0">
      <w:pPr>
        <w:pStyle w:val="Heading1"/>
      </w:pPr>
      <w:bookmarkStart w:id="6" w:name="O_1067330"/>
      <w:bookmarkEnd w:id="6"/>
      <w:r w:rsidRPr="00EF73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4"/>
        <w:gridCol w:w="2591"/>
        <w:gridCol w:w="659"/>
        <w:gridCol w:w="5280"/>
      </w:tblGrid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ELEMENTS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PERFORMANCE CRITERIA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Elements describe the essential outcomes.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Performance criteria describe the performance needed to demonstrate achievement of the element.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 xml:space="preserve">1 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Identify and respond to emergency situations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1.1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Emergency and potential emergency situations are promptly ident</w:t>
            </w:r>
            <w:r w:rsidRPr="00EF73D0">
              <w:t>ified and assessed, and needs are prioritised in accordance with workplace emergency response plan/procedures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1.2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Emergency situations are handled appropriately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1.3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Incident reports are completed accurately in accordance with regulatory and workplace procedures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Take required action during an emergency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2.1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Responsibilities are fulfilled in accordance with the workplace emergency response plan and code/regulatory req</w:t>
            </w:r>
            <w:r w:rsidRPr="00EF73D0">
              <w:t>uirements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2.2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Assistance is provided to other staff in conducting an initial assessment of the emergency scene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2.3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Assistance is provided in controlling the site prior to and following, the arrival of emergency services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2.4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Directions of the controlling emergency authority are followed and all possible assistance is provided in response to those directions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Arrange follow-on support and assistance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3.1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Medical assistance and support is arranged as required in accordance with</w:t>
            </w:r>
            <w:r w:rsidRPr="00EF73D0">
              <w:t xml:space="preserve"> workplace procedures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3.2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First aid is provided pending the arrival of medical assistance within limits of responsibility and competence in accordance with workplace procedures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4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rPr>
                <w:rStyle w:val="SpecialBold"/>
              </w:rPr>
              <w:t>Communicate with staff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4.1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Staff and customers are provided with relevant, appropriate and timely advice on emergency situations and instructions to be followed, on an ongoing basis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4.2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t>Evacuation procedures for staff/customers are outlined in accordance with workplace procedures</w:t>
            </w:r>
          </w:p>
        </w:tc>
      </w:tr>
      <w:tr w:rsidTr="00EF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>
            <w:pPr>
              <w:pStyle w:val="BodyText"/>
              <w:keepLines w:val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3D0">
            <w:pPr>
              <w:pStyle w:val="BodyText"/>
              <w:rPr>
                <w:lang w:val="en-NZ"/>
              </w:rPr>
            </w:pPr>
            <w:r w:rsidRPr="00EF73D0">
              <w:rPr>
                <w:rStyle w:val="SpecialBold"/>
              </w:rPr>
              <w:t>4.3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3D0" w:rsidP="00EF73D0">
            <w:pPr>
              <w:pStyle w:val="BodyText"/>
            </w:pPr>
            <w:r w:rsidRPr="00EF73D0">
              <w:t>Customer service and safety needs arising from emergency situations are identified and acted upon in accordance with regulatory and workplace requirements</w:t>
            </w:r>
          </w:p>
        </w:tc>
      </w:tr>
    </w:tbl>
    <w:p w:rsidR="00000000" w:rsidRPr="00EF73D0" w:rsidP="00EF73D0">
      <w:pPr>
        <w:pStyle w:val="NoPaddingFontSize1"/>
      </w:pPr>
    </w:p>
    <w:p w:rsidR="00000000" w:rsidRPr="00EF73D0" w:rsidP="00EF73D0">
      <w:pPr>
        <w:pStyle w:val="AllowPageBreak"/>
      </w:pPr>
    </w:p>
    <w:p w:rsidR="00000000" w:rsidRPr="00EF73D0" w:rsidP="00EF73D0">
      <w:pPr>
        <w:pStyle w:val="Heading1"/>
      </w:pPr>
      <w:bookmarkStart w:id="7" w:name="O_1067329"/>
      <w:bookmarkEnd w:id="7"/>
      <w:r w:rsidRPr="00EF73D0">
        <w:t>Foundation Skills</w:t>
      </w:r>
    </w:p>
    <w:p w:rsidR="00000000" w:rsidRPr="00EF73D0" w:rsidP="005C06AB">
      <w:pPr>
        <w:pStyle w:val="BodyText"/>
      </w:pPr>
      <w:r w:rsidRPr="00EF73D0">
        <w:t>Foundation skills essential to performance are explicit in the performance criteria of this unit of competency.</w:t>
      </w:r>
    </w:p>
    <w:p w:rsidR="00000000" w:rsidRPr="00EF73D0" w:rsidP="00EF73D0">
      <w:pPr>
        <w:pStyle w:val="Heading1"/>
      </w:pPr>
      <w:bookmarkStart w:id="8" w:name="O_1067328"/>
      <w:bookmarkEnd w:id="8"/>
      <w:r w:rsidRPr="00EF73D0">
        <w:t>Range of Conditions</w:t>
      </w:r>
    </w:p>
    <w:p w:rsidR="00000000" w:rsidRPr="00EF73D0" w:rsidP="005C06AB">
      <w:pPr>
        <w:pStyle w:val="BodyText"/>
      </w:pPr>
      <w:r w:rsidRPr="00EF73D0">
        <w:t>Range is restricted to essential operating conditions and any other variables essential to the work envir</w:t>
      </w:r>
      <w:r w:rsidRPr="00EF73D0">
        <w:t>onment.</w:t>
      </w:r>
    </w:p>
    <w:p w:rsidR="005C06AB" w:rsidP="005C06AB">
      <w:pPr>
        <w:pStyle w:val="BodyText"/>
      </w:pPr>
      <w:r w:rsidRPr="00EF73D0">
        <w:t>Non-essential conditions can be found in the Companion Volume Implementation Guide.</w:t>
      </w:r>
    </w:p>
    <w:p w:rsidR="00000000" w:rsidRPr="00EF73D0" w:rsidP="00EF73D0">
      <w:pPr>
        <w:pStyle w:val="Heading1"/>
      </w:pPr>
      <w:bookmarkStart w:id="9" w:name="O_1067327"/>
      <w:bookmarkEnd w:id="9"/>
      <w:r w:rsidRPr="00EF73D0">
        <w:t>Unit Mapping Information</w:t>
      </w:r>
    </w:p>
    <w:p w:rsidR="005C06AB" w:rsidP="005C06AB">
      <w:pPr>
        <w:pStyle w:val="BodyText"/>
      </w:pPr>
      <w:r w:rsidRPr="00EF73D0">
        <w:t>This unit replaces and is equivalent to TLIF5020A Manage emergencies.</w:t>
      </w:r>
    </w:p>
    <w:p w:rsidR="00000000" w:rsidRPr="00EF73D0" w:rsidP="00EF73D0">
      <w:pPr>
        <w:pStyle w:val="Heading1"/>
      </w:pPr>
      <w:bookmarkStart w:id="10" w:name="O_1067336"/>
      <w:bookmarkEnd w:id="10"/>
      <w:r w:rsidRPr="00EF73D0">
        <w:t>Links</w:t>
      </w:r>
    </w:p>
    <w:p w:rsidR="00000000" w:rsidRPr="00EF73D0" w:rsidP="005C06AB">
      <w:pPr>
        <w:pStyle w:val="BodyText"/>
      </w:pPr>
      <w:r w:rsidRPr="00EF73D0">
        <w:t>Companio</w:t>
      </w:r>
      <w:r w:rsidRPr="00EF73D0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05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73D0" w:rsidP="00EF73D0"/>
    <w:sectPr w:rsidSect="00EF73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D0" w:rsidRPr="005C06AB" w:rsidP="005C0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AB" w:rsidP="00EF7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6AB" w:rsidP="00EF7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C06AB" w:rsidP="00EF7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3D0" w:rsidRPr="005C06AB" w:rsidP="005C0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AB" w:rsidRPr="002D2AF8" w:rsidP="00EF7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TLIF5020 Manage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C06AB" w:rsidP="00EF7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F4E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2C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3D0"/>
  </w:style>
  <w:style w:type="character" w:customStyle="1" w:styleId="Heading1Char">
    <w:name w:val="Heading 1 Char"/>
    <w:basedOn w:val="DefaultParagraphFont"/>
    <w:link w:val="Heading1"/>
    <w:rsid w:val="00EF7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3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3D0"/>
    <w:rPr>
      <w:b/>
      <w:spacing w:val="0"/>
    </w:rPr>
  </w:style>
  <w:style w:type="paragraph" w:customStyle="1" w:styleId="SuperHeading">
    <w:name w:val="SuperHeading"/>
    <w:basedOn w:val="Normal"/>
    <w:rsid w:val="00EF7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7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3D0"/>
    <w:rPr>
      <w:i/>
    </w:rPr>
  </w:style>
  <w:style w:type="paragraph" w:styleId="Caption">
    <w:name w:val="caption"/>
    <w:basedOn w:val="BodyText"/>
    <w:next w:val="Normal"/>
    <w:qFormat/>
    <w:rsid w:val="00EF7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3D0"/>
  </w:style>
  <w:style w:type="paragraph" w:styleId="TableofFigures">
    <w:name w:val="table of figures"/>
    <w:basedOn w:val="Normal"/>
    <w:next w:val="Normal"/>
    <w:semiHidden/>
    <w:rsid w:val="00EF7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3D0"/>
    <w:rPr>
      <w:rFonts w:ascii="Wingdings" w:hAnsi="Wingdings"/>
    </w:rPr>
  </w:style>
  <w:style w:type="paragraph" w:customStyle="1" w:styleId="TableHeading">
    <w:name w:val="Table Heading"/>
    <w:basedOn w:val="HeadingBase"/>
    <w:rsid w:val="00EF7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3D0"/>
    <w:rPr>
      <w:color w:val="0033CC"/>
      <w:u w:val="none"/>
    </w:rPr>
  </w:style>
  <w:style w:type="paragraph" w:customStyle="1" w:styleId="BodyTextRight">
    <w:name w:val="Body Text Right"/>
    <w:basedOn w:val="BodyText"/>
    <w:rsid w:val="00EF7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3D0"/>
    <w:rPr>
      <w:sz w:val="32"/>
    </w:rPr>
  </w:style>
  <w:style w:type="paragraph" w:customStyle="1" w:styleId="HeadingProcedure">
    <w:name w:val="Heading Procedure"/>
    <w:basedOn w:val="HeadingBase"/>
    <w:next w:val="Normal"/>
    <w:rsid w:val="00EF7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3D0"/>
    <w:pPr>
      <w:spacing w:before="60" w:after="60"/>
    </w:pPr>
  </w:style>
  <w:style w:type="paragraph" w:styleId="ListContinue">
    <w:name w:val="List Continue"/>
    <w:basedOn w:val="List"/>
    <w:rsid w:val="00EF73D0"/>
    <w:pPr>
      <w:ind w:firstLine="0"/>
    </w:pPr>
  </w:style>
  <w:style w:type="paragraph" w:customStyle="1" w:styleId="ListNote">
    <w:name w:val="List Note"/>
    <w:basedOn w:val="List"/>
    <w:rsid w:val="00EF7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3D0"/>
    <w:rPr>
      <w:rFonts w:ascii="Courier New" w:hAnsi="Courier New"/>
    </w:rPr>
  </w:style>
  <w:style w:type="paragraph" w:customStyle="1" w:styleId="NoteBullet">
    <w:name w:val="Note Bullet"/>
    <w:basedOn w:val="Note"/>
    <w:rsid w:val="00EF7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3D0"/>
    <w:rPr>
      <w:b/>
      <w:smallCaps/>
    </w:rPr>
  </w:style>
  <w:style w:type="paragraph" w:customStyle="1" w:styleId="TableListNumber">
    <w:name w:val="Table List Number"/>
    <w:basedOn w:val="ListNumber"/>
    <w:rsid w:val="00EF7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3D0"/>
    <w:pPr>
      <w:numPr>
        <w:numId w:val="8"/>
      </w:numPr>
    </w:pPr>
  </w:style>
  <w:style w:type="paragraph" w:customStyle="1" w:styleId="ListAlpha2">
    <w:name w:val="List Alpha 2"/>
    <w:basedOn w:val="List2"/>
    <w:rsid w:val="00EF73D0"/>
    <w:pPr>
      <w:numPr>
        <w:numId w:val="7"/>
      </w:numPr>
    </w:pPr>
  </w:style>
  <w:style w:type="paragraph" w:styleId="List2">
    <w:name w:val="List 2"/>
    <w:basedOn w:val="BodyText"/>
    <w:rsid w:val="00EF7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3D0"/>
    <w:pPr>
      <w:numPr>
        <w:numId w:val="3"/>
      </w:numPr>
    </w:pPr>
  </w:style>
  <w:style w:type="paragraph" w:styleId="ListContinue2">
    <w:name w:val="List Continue 2"/>
    <w:basedOn w:val="List2"/>
    <w:rsid w:val="00EF73D0"/>
    <w:pPr>
      <w:ind w:firstLine="0"/>
    </w:pPr>
  </w:style>
  <w:style w:type="paragraph" w:styleId="ListContinue3">
    <w:name w:val="List Continue 3"/>
    <w:basedOn w:val="List3"/>
    <w:rsid w:val="00EF73D0"/>
    <w:pPr>
      <w:ind w:left="1021" w:firstLine="0"/>
    </w:pPr>
  </w:style>
  <w:style w:type="paragraph" w:styleId="ListContinue4">
    <w:name w:val="List Continue 4"/>
    <w:basedOn w:val="List4"/>
    <w:rsid w:val="00EF73D0"/>
    <w:pPr>
      <w:ind w:firstLine="0"/>
    </w:pPr>
  </w:style>
  <w:style w:type="paragraph" w:styleId="ListContinue5">
    <w:name w:val="List Continue 5"/>
    <w:basedOn w:val="List5"/>
    <w:rsid w:val="00EF73D0"/>
    <w:pPr>
      <w:ind w:firstLine="0"/>
    </w:pPr>
  </w:style>
  <w:style w:type="paragraph" w:styleId="ListNumber3">
    <w:name w:val="List Number 3"/>
    <w:basedOn w:val="List3"/>
    <w:rsid w:val="00EF73D0"/>
    <w:pPr>
      <w:numPr>
        <w:numId w:val="4"/>
      </w:numPr>
    </w:pPr>
  </w:style>
  <w:style w:type="paragraph" w:styleId="ListNumber4">
    <w:name w:val="List Number 4"/>
    <w:basedOn w:val="List4"/>
    <w:rsid w:val="00EF73D0"/>
    <w:pPr>
      <w:numPr>
        <w:numId w:val="5"/>
      </w:numPr>
    </w:pPr>
  </w:style>
  <w:style w:type="paragraph" w:styleId="ListNumber5">
    <w:name w:val="List Number 5"/>
    <w:basedOn w:val="List5"/>
    <w:rsid w:val="00EF73D0"/>
    <w:pPr>
      <w:numPr>
        <w:numId w:val="6"/>
      </w:numPr>
    </w:pPr>
  </w:style>
  <w:style w:type="paragraph" w:styleId="BlockText">
    <w:name w:val="Block Text"/>
    <w:basedOn w:val="Normal"/>
    <w:rsid w:val="00EF7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3D0"/>
    <w:rPr>
      <w:sz w:val="16"/>
      <w:vertAlign w:val="superscript"/>
    </w:rPr>
  </w:style>
  <w:style w:type="character" w:customStyle="1" w:styleId="Symbols">
    <w:name w:val="Symbols"/>
    <w:basedOn w:val="DefaultParagraphFont"/>
    <w:rsid w:val="00EF73D0"/>
    <w:rPr>
      <w:rFonts w:ascii="Symbol" w:hAnsi="Symbol"/>
    </w:rPr>
  </w:style>
  <w:style w:type="character" w:customStyle="1" w:styleId="MenuOptions">
    <w:name w:val="Menu Options"/>
    <w:basedOn w:val="DefaultParagraphFont"/>
    <w:rsid w:val="00EF7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3D0"/>
    <w:rPr>
      <w:b/>
    </w:rPr>
  </w:style>
  <w:style w:type="character" w:customStyle="1" w:styleId="Underlined">
    <w:name w:val="Underlined"/>
    <w:basedOn w:val="DefaultParagraphFont"/>
    <w:rsid w:val="00EF73D0"/>
    <w:rPr>
      <w:u w:val="single"/>
    </w:rPr>
  </w:style>
  <w:style w:type="paragraph" w:customStyle="1" w:styleId="TableBodyTextRight">
    <w:name w:val="Table Body Text Right"/>
    <w:basedOn w:val="TableBodyText"/>
    <w:rsid w:val="00EF7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3D0"/>
    <w:rPr>
      <w:sz w:val="18"/>
    </w:rPr>
  </w:style>
  <w:style w:type="paragraph" w:customStyle="1" w:styleId="BodySmallRight">
    <w:name w:val="Body Small Right"/>
    <w:basedOn w:val="BodyTextRight"/>
    <w:rsid w:val="00EF73D0"/>
    <w:rPr>
      <w:sz w:val="18"/>
      <w:szCs w:val="18"/>
    </w:rPr>
  </w:style>
  <w:style w:type="paragraph" w:customStyle="1" w:styleId="MarginEdition">
    <w:name w:val="Margin Edition"/>
    <w:basedOn w:val="MarginNote"/>
    <w:rsid w:val="00EF7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3D0"/>
    <w:rPr>
      <w:sz w:val="2"/>
      <w:szCs w:val="2"/>
    </w:rPr>
  </w:style>
  <w:style w:type="character" w:customStyle="1" w:styleId="Small">
    <w:name w:val="Small"/>
    <w:basedOn w:val="DefaultParagraphFont"/>
    <w:rsid w:val="00EF73D0"/>
    <w:rPr>
      <w:sz w:val="16"/>
    </w:rPr>
  </w:style>
  <w:style w:type="paragraph" w:customStyle="1" w:styleId="WideTable">
    <w:name w:val="Wide Table"/>
    <w:basedOn w:val="Normal"/>
    <w:rsid w:val="00EF7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3D0"/>
  </w:style>
  <w:style w:type="paragraph" w:styleId="Quote">
    <w:name w:val="Quote"/>
    <w:basedOn w:val="Heading1"/>
    <w:link w:val="QuoteChar"/>
    <w:qFormat/>
    <w:rsid w:val="00EF7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3D0"/>
    <w:pPr>
      <w:pageBreakBefore/>
    </w:pPr>
  </w:style>
  <w:style w:type="paragraph" w:customStyle="1" w:styleId="Border">
    <w:name w:val="Border"/>
    <w:basedOn w:val="Normal"/>
    <w:qFormat/>
    <w:rsid w:val="00EF7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3D0"/>
    <w:rPr>
      <w:u w:val="single"/>
    </w:rPr>
  </w:style>
  <w:style w:type="character" w:customStyle="1" w:styleId="BoldandItalics">
    <w:name w:val="Bold and Italics"/>
    <w:qFormat/>
    <w:rsid w:val="00EF73D0"/>
    <w:rPr>
      <w:b/>
      <w:i/>
      <w:u w:val="none"/>
    </w:rPr>
  </w:style>
  <w:style w:type="paragraph" w:styleId="BalloonText">
    <w:name w:val="Balloon Text"/>
    <w:basedOn w:val="Normal"/>
    <w:link w:val="BalloonTextChar"/>
    <w:rsid w:val="00EF7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3D0"/>
    <w:pPr>
      <w:spacing w:before="0" w:after="0"/>
    </w:pPr>
  </w:style>
  <w:style w:type="paragraph" w:customStyle="1" w:styleId="BodyTextBold">
    <w:name w:val="Body Text Bold"/>
    <w:basedOn w:val="BodyText"/>
    <w:qFormat/>
    <w:rsid w:val="00EF73D0"/>
    <w:rPr>
      <w:b/>
    </w:rPr>
  </w:style>
  <w:style w:type="character" w:styleId="Hyperlink">
    <w:name w:val="Hyperlink"/>
    <w:basedOn w:val="DefaultParagraphFont"/>
    <w:uiPriority w:val="99"/>
    <w:unhideWhenUsed/>
    <w:rsid w:val="005C0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3285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TLIF5020 Manage emergencies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