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B32" w:rsidP="00615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TLIF4104 Manage change in the rail safety environment</w:t>
      </w:r>
      <w:r>
        <w:fldChar w:fldCharType="end"/>
      </w:r>
    </w:p>
    <w:p w:rsidR="00615B32" w:rsidP="00615B32">
      <w:pPr>
        <w:pStyle w:val="Version"/>
        <w:sectPr w:rsidSect="00520E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0EB5" w:rsidP="00520EB5">
      <w:pPr>
        <w:pStyle w:val="SuperHeading"/>
      </w:pPr>
      <w:r w:rsidRPr="00520EB5">
        <w:t>TLIF4104 Manage change in the rail safety environment</w:t>
      </w:r>
    </w:p>
    <w:p w:rsidR="00000000" w:rsidRPr="00520EB5" w:rsidP="00520EB5">
      <w:pPr>
        <w:pStyle w:val="Heading1"/>
      </w:pPr>
      <w:bookmarkStart w:id="1" w:name="O_1240638"/>
      <w:bookmarkEnd w:id="1"/>
      <w:r w:rsidRPr="00520E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Release 2</w:t>
            </w:r>
            <w:r w:rsidRPr="00520EB5">
              <w:t>. This is the second release of this unit of competency in the TLI Transport and Logistics Training Package:</w:t>
            </w:r>
          </w:p>
          <w:p w:rsidR="00000000" w:rsidP="00520EB5">
            <w:pPr>
              <w:pStyle w:val="ListBullet"/>
              <w:rPr>
                <w:lang w:val="en-NZ"/>
              </w:rPr>
            </w:pPr>
            <w:r w:rsidRPr="00520EB5">
              <w:t>Minor statement changes in Assessment Conditions.</w:t>
            </w:r>
          </w:p>
        </w:tc>
      </w:tr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Release 1</w:t>
            </w:r>
            <w:r w:rsidRPr="00520EB5">
              <w:t>. This is the first release of this un</w:t>
            </w:r>
            <w:r w:rsidRPr="00520EB5">
              <w:t>it of competency in the TLI Transport and Logistics Training Package.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2" w:name="O_1240637"/>
      <w:bookmarkEnd w:id="2"/>
      <w:r w:rsidRPr="00520E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This unit involves the skills and knowledge required to manage change in a rail safety environment and associated risks. Change may be required because o</w:t>
            </w:r>
            <w:r w:rsidRPr="00520EB5">
              <w:t>f organisational restructuring or the introduction of new equipment, systems or practices.</w:t>
            </w:r>
          </w:p>
          <w:p w:rsidR="00000000" w:rsidRPr="00520EB5" w:rsidP="00520EB5">
            <w:pPr>
              <w:pStyle w:val="BodyText"/>
            </w:pPr>
            <w:r w:rsidRPr="00520EB5">
              <w:t>It includes establishing the context for change, developing a risk management strategy, advertising workplace change, implementing a change management strategy and m</w:t>
            </w:r>
            <w:r w:rsidRPr="00520EB5">
              <w:t>onitoring change process outcomes.</w:t>
            </w:r>
          </w:p>
          <w:p w:rsidR="00000000" w:rsidRPr="00520EB5" w:rsidP="00520EB5">
            <w:pPr>
              <w:pStyle w:val="BodyText"/>
            </w:pPr>
            <w:r w:rsidRPr="00520EB5">
              <w:t>People achieving competence in this unit will need to fulfil the applicable state/territory legislated rail safety requirements and to comply with relevant codes of practice and/or guidelines and rail regulations.</w:t>
            </w:r>
          </w:p>
          <w:p w:rsidR="00000000" w:rsidRPr="00520EB5" w:rsidP="00520EB5">
            <w:pPr>
              <w:pStyle w:val="BodyText"/>
            </w:pPr>
            <w:r w:rsidRPr="00520EB5">
              <w:t>No lice</w:t>
            </w:r>
            <w:r w:rsidRPr="00520EB5">
              <w:t>nsing, legislative or certification requirements apply to this unit at the time of publication.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3" w:name="O_1240636"/>
      <w:bookmarkEnd w:id="3"/>
      <w:r w:rsidRPr="00520E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Not applicable.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4" w:name="O_1240635"/>
      <w:bookmarkEnd w:id="4"/>
      <w:r w:rsidRPr="00520E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F – Safety Management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5" w:name="O_1240634"/>
      <w:bookmarkEnd w:id="5"/>
      <w:r w:rsidRPr="00520E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Rail sector.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6" w:name="O_1240633"/>
      <w:bookmarkEnd w:id="6"/>
      <w:r w:rsidRPr="00520E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6"/>
        <w:gridCol w:w="3096"/>
        <w:gridCol w:w="1306"/>
        <w:gridCol w:w="4420"/>
      </w:tblGrid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Elements describe the essential outcomes.</w:t>
            </w:r>
          </w:p>
        </w:tc>
        <w:tc>
          <w:tcPr>
            <w:tcW w:w="57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Performance criteria describe the performance needed to demonstrate achievement of the element.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Establish the context for change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1.1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Requirement for change is confirmed through consideration of changes to legislation, business or organisational requirements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1.2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Key stakeholders are identified and consulted on proposed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1.3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Benchmarking is conducted with other similar organis</w:t>
            </w:r>
            <w:r w:rsidRPr="00520EB5">
              <w:t>ational/functional/best practice standards to confirm preferred methodology for managing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1.4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Specialists and experts are consulted as required to assist in identifying major change requirements or opportunities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1.5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Overall life cycle and phases of change are identified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Develop risk management strategy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2.1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Risk assessment is conducted to identify risks and hazards related to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2.2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Identified risks are evaluated and controls are established so far as is reas</w:t>
            </w:r>
            <w:r w:rsidRPr="00520EB5">
              <w:t>onably practicable in accordance with organisational policy and procedures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2.3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Responsibility for managing established controls is determined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Develop implementation plan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Complexity of change is identified and appropriate phases and transition plans are developed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Communications strategy is developed in collaboration with key stakeholders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Modifications to systems and infrastructure are identified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Resources required to implement change are identified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3.5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Affected personnel and required training/up skilling is identified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3.6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Updating of risk registers and other safety documentation is identified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3.7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Procedures for post-implementation monitoring and review are established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3.8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Changes are documented and approval by key stakeholders is obtained in accordance with regulatory and organisational requirements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4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Communicate workplace change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4.1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Anticipated change is advertised to appropriate organisational personnel who will be affected by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4.2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Range of strategies is used to foster a positive attitude to change, especially from individuals on whom organisational change will have the most</w:t>
            </w:r>
            <w:r w:rsidRPr="00520EB5">
              <w:t xml:space="preserve"> effect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4.3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Advice is provided to key stakeholders on strategies for effective change management and sensitivity is shown to people’s individual responses to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4.4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Leadership and communications strategies are used to assist others to deal with a</w:t>
            </w:r>
            <w:r w:rsidRPr="00520EB5">
              <w:t>mbiguity and to adapt to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5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Implement workplace change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5.1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Policies, practices and procedures are altered and implemented, as required, to support change management strategy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5.2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Modifications to systems and infrastructure are implemented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5.3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Required training/up skilling of affected personnel is facilitated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5.4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>Risk registers and other safety documentation are updated to reflect implemented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6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rPr>
                <w:rStyle w:val="SpecialBold"/>
              </w:rPr>
              <w:t>Monitor and review change process and outcomes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6.1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t xml:space="preserve">Organisational safety management system </w:t>
            </w:r>
            <w:r w:rsidRPr="00520EB5">
              <w:t>is reviewed and revised to reflect change</w:t>
            </w:r>
          </w:p>
        </w:tc>
      </w:tr>
      <w:tr w:rsidTr="00520E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>
            <w:pPr>
              <w:pStyle w:val="BodyText"/>
              <w:keepLines w:val="0"/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EB5">
            <w:pPr>
              <w:pStyle w:val="BodyText"/>
              <w:rPr>
                <w:lang w:val="en-NZ"/>
              </w:rPr>
            </w:pPr>
            <w:r w:rsidRPr="00520EB5">
              <w:rPr>
                <w:rStyle w:val="SpecialBold"/>
              </w:rPr>
              <w:t>6.2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Ongoing processes are monitored following implementation of change to ensure it is meeting organisational requirements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7" w:name="O_1240632"/>
      <w:bookmarkEnd w:id="7"/>
      <w:r w:rsidRPr="00520E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Foundation skills essential to performance are explicit in the performance criteria of this unit of competency.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8" w:name="O_1240631"/>
      <w:bookmarkEnd w:id="8"/>
      <w:r w:rsidRPr="00520E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Range is restricted to essential operating conditions and any other variables essential to the work env</w:t>
            </w:r>
            <w:r w:rsidRPr="00520EB5">
              <w:t>ironment.</w:t>
            </w:r>
          </w:p>
          <w:p w:rsidR="00000000" w:rsidRPr="00520EB5" w:rsidP="00520EB5">
            <w:pPr>
              <w:pStyle w:val="BodyText"/>
            </w:pPr>
            <w:r w:rsidRPr="00520EB5">
              <w:t>Non-essential conditions can be found in the TLI Transport and Logistics Training Package Companion Volume Implementation Guide.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9" w:name="O_1240630"/>
      <w:bookmarkEnd w:id="9"/>
      <w:r w:rsidRPr="00520E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0E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EB5" w:rsidP="00520EB5">
            <w:pPr>
              <w:pStyle w:val="BodyText"/>
            </w:pPr>
            <w:r w:rsidRPr="00520EB5">
              <w:t>This un</w:t>
            </w:r>
            <w:r w:rsidRPr="00520EB5">
              <w:t>it replaces and is equivalent to TLIF4104A Manage change in the rail safety environment.</w:t>
            </w:r>
          </w:p>
        </w:tc>
      </w:tr>
    </w:tbl>
    <w:p w:rsidR="00000000" w:rsidRPr="00520EB5" w:rsidP="00520EB5">
      <w:pPr>
        <w:pStyle w:val="NoPaddingFontSize1"/>
      </w:pPr>
    </w:p>
    <w:p w:rsidR="00000000" w:rsidRPr="00520EB5" w:rsidP="00520EB5">
      <w:pPr>
        <w:pStyle w:val="AllowPageBreak"/>
      </w:pPr>
    </w:p>
    <w:p w:rsidR="00000000" w:rsidRPr="00520EB5" w:rsidP="00520EB5">
      <w:pPr>
        <w:pStyle w:val="Heading1"/>
      </w:pPr>
      <w:bookmarkStart w:id="10" w:name="O_1240639"/>
      <w:bookmarkEnd w:id="10"/>
      <w:r w:rsidRPr="00520EB5">
        <w:t>Links</w:t>
      </w:r>
    </w:p>
    <w:p w:rsidR="00000000" w:rsidRPr="00520EB5" w:rsidP="00615B32">
      <w:pPr>
        <w:pStyle w:val="BodyText"/>
      </w:pPr>
      <w:r w:rsidRPr="00520E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06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0EB5" w:rsidP="00520EB5"/>
    <w:sectPr w:rsidSect="00520E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B5" w:rsidRPr="00615B32" w:rsidP="00615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32" w:rsidP="00520E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B32" w:rsidP="00520E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5B32" w:rsidP="00520E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EB5" w:rsidRPr="00615B32" w:rsidP="00615B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E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32" w:rsidRPr="002D2AF8" w:rsidP="00520E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TLIF4104 Manage change in the rail safety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5B32" w:rsidP="00520E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07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EA9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E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E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E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E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E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E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E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E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E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E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E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EB5"/>
  </w:style>
  <w:style w:type="character" w:customStyle="1" w:styleId="Heading1Char">
    <w:name w:val="Heading 1 Char"/>
    <w:basedOn w:val="DefaultParagraphFont"/>
    <w:link w:val="Heading1"/>
    <w:rsid w:val="00520E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E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E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E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EB5"/>
    <w:rPr>
      <w:b/>
      <w:spacing w:val="0"/>
    </w:rPr>
  </w:style>
  <w:style w:type="paragraph" w:customStyle="1" w:styleId="SuperHeading">
    <w:name w:val="SuperHeading"/>
    <w:basedOn w:val="Normal"/>
    <w:rsid w:val="00520E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E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0E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E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E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E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E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E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E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E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E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E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E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E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E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E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E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E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E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E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E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E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E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0E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0E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E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E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E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E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E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E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E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E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0EB5"/>
    <w:rPr>
      <w:i/>
    </w:rPr>
  </w:style>
  <w:style w:type="paragraph" w:styleId="Caption">
    <w:name w:val="caption"/>
    <w:basedOn w:val="BodyText"/>
    <w:next w:val="Normal"/>
    <w:qFormat/>
    <w:rsid w:val="00520E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E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E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EB5"/>
  </w:style>
  <w:style w:type="paragraph" w:styleId="TableofFigures">
    <w:name w:val="table of figures"/>
    <w:basedOn w:val="Normal"/>
    <w:next w:val="Normal"/>
    <w:semiHidden/>
    <w:rsid w:val="00520E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E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0EB5"/>
    <w:rPr>
      <w:rFonts w:ascii="Wingdings" w:hAnsi="Wingdings"/>
    </w:rPr>
  </w:style>
  <w:style w:type="paragraph" w:customStyle="1" w:styleId="TableHeading">
    <w:name w:val="Table Heading"/>
    <w:basedOn w:val="HeadingBase"/>
    <w:rsid w:val="00520E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EB5"/>
    <w:rPr>
      <w:color w:val="0033CC"/>
      <w:u w:val="none"/>
    </w:rPr>
  </w:style>
  <w:style w:type="paragraph" w:customStyle="1" w:styleId="BodyTextRight">
    <w:name w:val="Body Text Right"/>
    <w:basedOn w:val="BodyText"/>
    <w:rsid w:val="00520E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E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E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E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E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E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EB5"/>
    <w:rPr>
      <w:sz w:val="32"/>
    </w:rPr>
  </w:style>
  <w:style w:type="paragraph" w:customStyle="1" w:styleId="HeadingProcedure">
    <w:name w:val="Heading Procedure"/>
    <w:basedOn w:val="HeadingBase"/>
    <w:next w:val="Normal"/>
    <w:rsid w:val="00520E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EB5"/>
    <w:pPr>
      <w:spacing w:before="60" w:after="60"/>
    </w:pPr>
  </w:style>
  <w:style w:type="paragraph" w:styleId="ListContinue">
    <w:name w:val="List Continue"/>
    <w:basedOn w:val="List"/>
    <w:rsid w:val="00520EB5"/>
    <w:pPr>
      <w:ind w:firstLine="0"/>
    </w:pPr>
  </w:style>
  <w:style w:type="paragraph" w:customStyle="1" w:styleId="ListNote">
    <w:name w:val="List Note"/>
    <w:basedOn w:val="List"/>
    <w:rsid w:val="00520E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E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E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EB5"/>
    <w:rPr>
      <w:rFonts w:ascii="Courier New" w:hAnsi="Courier New"/>
    </w:rPr>
  </w:style>
  <w:style w:type="paragraph" w:customStyle="1" w:styleId="NoteBullet">
    <w:name w:val="Note Bullet"/>
    <w:basedOn w:val="Note"/>
    <w:rsid w:val="00520E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E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E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E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E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0E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E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EB5"/>
    <w:rPr>
      <w:b/>
      <w:smallCaps/>
    </w:rPr>
  </w:style>
  <w:style w:type="paragraph" w:customStyle="1" w:styleId="TableListNumber">
    <w:name w:val="Table List Number"/>
    <w:basedOn w:val="ListNumber"/>
    <w:rsid w:val="00520E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E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EB5"/>
    <w:pPr>
      <w:numPr>
        <w:numId w:val="8"/>
      </w:numPr>
    </w:pPr>
  </w:style>
  <w:style w:type="paragraph" w:customStyle="1" w:styleId="ListAlpha2">
    <w:name w:val="List Alpha 2"/>
    <w:basedOn w:val="List2"/>
    <w:rsid w:val="00520EB5"/>
    <w:pPr>
      <w:numPr>
        <w:numId w:val="7"/>
      </w:numPr>
    </w:pPr>
  </w:style>
  <w:style w:type="paragraph" w:styleId="List2">
    <w:name w:val="List 2"/>
    <w:basedOn w:val="BodyText"/>
    <w:rsid w:val="00520E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E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E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E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E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E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0EB5"/>
    <w:pPr>
      <w:numPr>
        <w:numId w:val="3"/>
      </w:numPr>
    </w:pPr>
  </w:style>
  <w:style w:type="paragraph" w:styleId="ListContinue2">
    <w:name w:val="List Continue 2"/>
    <w:basedOn w:val="List2"/>
    <w:rsid w:val="00520EB5"/>
    <w:pPr>
      <w:ind w:firstLine="0"/>
    </w:pPr>
  </w:style>
  <w:style w:type="paragraph" w:styleId="ListContinue3">
    <w:name w:val="List Continue 3"/>
    <w:basedOn w:val="List3"/>
    <w:rsid w:val="00520EB5"/>
    <w:pPr>
      <w:ind w:left="1021" w:firstLine="0"/>
    </w:pPr>
  </w:style>
  <w:style w:type="paragraph" w:styleId="ListContinue4">
    <w:name w:val="List Continue 4"/>
    <w:basedOn w:val="List4"/>
    <w:rsid w:val="00520EB5"/>
    <w:pPr>
      <w:ind w:firstLine="0"/>
    </w:pPr>
  </w:style>
  <w:style w:type="paragraph" w:styleId="ListContinue5">
    <w:name w:val="List Continue 5"/>
    <w:basedOn w:val="List5"/>
    <w:rsid w:val="00520EB5"/>
    <w:pPr>
      <w:ind w:firstLine="0"/>
    </w:pPr>
  </w:style>
  <w:style w:type="paragraph" w:styleId="ListNumber3">
    <w:name w:val="List Number 3"/>
    <w:basedOn w:val="List3"/>
    <w:rsid w:val="00520EB5"/>
    <w:pPr>
      <w:numPr>
        <w:numId w:val="4"/>
      </w:numPr>
    </w:pPr>
  </w:style>
  <w:style w:type="paragraph" w:styleId="ListNumber4">
    <w:name w:val="List Number 4"/>
    <w:basedOn w:val="List4"/>
    <w:rsid w:val="00520EB5"/>
    <w:pPr>
      <w:numPr>
        <w:numId w:val="5"/>
      </w:numPr>
    </w:pPr>
  </w:style>
  <w:style w:type="paragraph" w:styleId="ListNumber5">
    <w:name w:val="List Number 5"/>
    <w:basedOn w:val="List5"/>
    <w:rsid w:val="00520EB5"/>
    <w:pPr>
      <w:numPr>
        <w:numId w:val="6"/>
      </w:numPr>
    </w:pPr>
  </w:style>
  <w:style w:type="paragraph" w:styleId="BlockText">
    <w:name w:val="Block Text"/>
    <w:basedOn w:val="Normal"/>
    <w:rsid w:val="00520E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E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EB5"/>
    <w:rPr>
      <w:sz w:val="16"/>
      <w:vertAlign w:val="superscript"/>
    </w:rPr>
  </w:style>
  <w:style w:type="character" w:customStyle="1" w:styleId="Symbols">
    <w:name w:val="Symbols"/>
    <w:basedOn w:val="DefaultParagraphFont"/>
    <w:rsid w:val="00520EB5"/>
    <w:rPr>
      <w:rFonts w:ascii="Symbol" w:hAnsi="Symbol"/>
    </w:rPr>
  </w:style>
  <w:style w:type="character" w:customStyle="1" w:styleId="MenuOptions">
    <w:name w:val="Menu Options"/>
    <w:basedOn w:val="DefaultParagraphFont"/>
    <w:rsid w:val="00520E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EB5"/>
    <w:rPr>
      <w:b/>
    </w:rPr>
  </w:style>
  <w:style w:type="character" w:customStyle="1" w:styleId="Underlined">
    <w:name w:val="Underlined"/>
    <w:basedOn w:val="DefaultParagraphFont"/>
    <w:rsid w:val="00520EB5"/>
    <w:rPr>
      <w:u w:val="single"/>
    </w:rPr>
  </w:style>
  <w:style w:type="paragraph" w:customStyle="1" w:styleId="TableBodyTextRight">
    <w:name w:val="Table Body Text Right"/>
    <w:basedOn w:val="TableBodyText"/>
    <w:rsid w:val="00520E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EB5"/>
    <w:rPr>
      <w:sz w:val="18"/>
    </w:rPr>
  </w:style>
  <w:style w:type="paragraph" w:customStyle="1" w:styleId="BodySmallRight">
    <w:name w:val="Body Small Right"/>
    <w:basedOn w:val="BodyTextRight"/>
    <w:rsid w:val="00520EB5"/>
    <w:rPr>
      <w:sz w:val="18"/>
      <w:szCs w:val="18"/>
    </w:rPr>
  </w:style>
  <w:style w:type="paragraph" w:customStyle="1" w:styleId="MarginEdition">
    <w:name w:val="Margin Edition"/>
    <w:basedOn w:val="MarginNote"/>
    <w:rsid w:val="00520E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EB5"/>
    <w:rPr>
      <w:sz w:val="2"/>
      <w:szCs w:val="2"/>
    </w:rPr>
  </w:style>
  <w:style w:type="character" w:customStyle="1" w:styleId="Small">
    <w:name w:val="Small"/>
    <w:basedOn w:val="DefaultParagraphFont"/>
    <w:rsid w:val="00520EB5"/>
    <w:rPr>
      <w:sz w:val="16"/>
    </w:rPr>
  </w:style>
  <w:style w:type="paragraph" w:customStyle="1" w:styleId="WideTable">
    <w:name w:val="Wide Table"/>
    <w:basedOn w:val="Normal"/>
    <w:rsid w:val="00520E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EB5"/>
  </w:style>
  <w:style w:type="paragraph" w:styleId="Quote">
    <w:name w:val="Quote"/>
    <w:basedOn w:val="Heading1"/>
    <w:link w:val="QuoteChar"/>
    <w:qFormat/>
    <w:rsid w:val="00520E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E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EB5"/>
    <w:pPr>
      <w:pageBreakBefore/>
    </w:pPr>
  </w:style>
  <w:style w:type="paragraph" w:customStyle="1" w:styleId="Border">
    <w:name w:val="Border"/>
    <w:basedOn w:val="Normal"/>
    <w:qFormat/>
    <w:rsid w:val="00520E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E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E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E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E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E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E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E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E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EB5"/>
    <w:rPr>
      <w:u w:val="single"/>
    </w:rPr>
  </w:style>
  <w:style w:type="character" w:customStyle="1" w:styleId="BoldandItalics">
    <w:name w:val="Bold and Italics"/>
    <w:qFormat/>
    <w:rsid w:val="00520EB5"/>
    <w:rPr>
      <w:b/>
      <w:i/>
      <w:u w:val="none"/>
    </w:rPr>
  </w:style>
  <w:style w:type="paragraph" w:styleId="BalloonText">
    <w:name w:val="Balloon Text"/>
    <w:basedOn w:val="Normal"/>
    <w:link w:val="BalloonTextChar"/>
    <w:rsid w:val="00520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E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E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E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E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E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EB5"/>
    <w:pPr>
      <w:spacing w:before="0" w:after="0"/>
    </w:pPr>
  </w:style>
  <w:style w:type="paragraph" w:customStyle="1" w:styleId="BodyTextBold">
    <w:name w:val="Body Text Bold"/>
    <w:basedOn w:val="BodyText"/>
    <w:qFormat/>
    <w:rsid w:val="00520EB5"/>
    <w:rPr>
      <w:b/>
    </w:rPr>
  </w:style>
  <w:style w:type="character" w:styleId="Hyperlink">
    <w:name w:val="Hyperlink"/>
    <w:basedOn w:val="DefaultParagraphFont"/>
    <w:uiPriority w:val="99"/>
    <w:unhideWhenUsed/>
    <w:rsid w:val="00615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4479</Characters>
  <Application>Microsoft Office Word</Application>
  <DocSecurity>0</DocSecurity>
  <Lines>235</Lines>
  <Paragraphs>112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TLIF4104 Manage change in the rail safety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