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3EF" w:rsidP="00C853EF">
      <w:pPr>
        <w:pStyle w:val="Title"/>
      </w:pPr>
      <w:r>
        <w:fldChar w:fldCharType="begin"/>
      </w:r>
      <w:r>
        <w:instrText xml:space="preserve"> TITLE   \* MERGEFORMAT </w:instrText>
      </w:r>
      <w:r>
        <w:fldChar w:fldCharType="separate"/>
      </w:r>
      <w:r>
        <w:t>TLIF4104 Manage change in the rail safety environment</w:t>
      </w:r>
      <w:r>
        <w:fldChar w:fldCharType="end"/>
      </w:r>
    </w:p>
    <w:p w:rsidR="00C853EF" w:rsidP="00C853EF">
      <w:pPr>
        <w:pStyle w:val="Version"/>
        <w:sectPr w:rsidSect="006C6C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6CD3" w:rsidP="006C6CD3">
      <w:pPr>
        <w:pStyle w:val="SuperHeading"/>
      </w:pPr>
      <w:r w:rsidRPr="006C6CD3">
        <w:t>TLIF4104 Manage change in the rail safety environment</w:t>
      </w:r>
    </w:p>
    <w:p w:rsidR="00000000" w:rsidRPr="006C6CD3" w:rsidP="006C6CD3">
      <w:pPr>
        <w:pStyle w:val="Heading1"/>
      </w:pPr>
      <w:bookmarkStart w:id="1" w:name="O_1240638"/>
      <w:bookmarkEnd w:id="1"/>
      <w:r w:rsidRPr="006C6CD3">
        <w:t>Modification History</w:t>
      </w:r>
    </w:p>
    <w:tbl>
      <w:tblPr>
        <w:tblW w:w="9497" w:type="dxa"/>
        <w:tblLayout w:type="fixed"/>
        <w:tblCellMar>
          <w:left w:w="62" w:type="dxa"/>
          <w:right w:w="62" w:type="dxa"/>
        </w:tblCellMar>
        <w:tblLook w:val="0000"/>
      </w:tblPr>
      <w:tblGrid>
        <w:gridCol w:w="9497"/>
      </w:tblGrid>
      <w:tr w:rsidTr="006C6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rPr>
                <w:rStyle w:val="SpecialBold"/>
              </w:rPr>
              <w:t>Release 2</w:t>
            </w:r>
            <w:r w:rsidRPr="006C6CD3">
              <w:t>. This is the second release of this unit of competency in the TLI Transport and Logistics Training Package:</w:t>
            </w:r>
          </w:p>
          <w:p w:rsidR="00000000" w:rsidP="006C6CD3">
            <w:pPr>
              <w:pStyle w:val="ListBullet"/>
              <w:rPr>
                <w:lang w:val="en-NZ"/>
              </w:rPr>
            </w:pPr>
            <w:r w:rsidRPr="006C6CD3">
              <w:t>Minor statement changes in Assessment Conditions.</w:t>
            </w:r>
          </w:p>
        </w:tc>
      </w:tr>
      <w:tr w:rsidTr="006C6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rPr>
                <w:rStyle w:val="SpecialBold"/>
              </w:rPr>
              <w:t>Release 1</w:t>
            </w:r>
            <w:r w:rsidRPr="006C6CD3">
              <w:t>. This is the first release of this un</w:t>
            </w:r>
            <w:r w:rsidRPr="006C6CD3">
              <w:t>it of competency in the TLI Transport and Logistics Training Package.</w:t>
            </w:r>
          </w:p>
        </w:tc>
      </w:tr>
    </w:tbl>
    <w:p w:rsidR="00000000" w:rsidRPr="006C6CD3" w:rsidP="006C6CD3">
      <w:pPr>
        <w:pStyle w:val="NoPaddingFontSize1"/>
      </w:pPr>
    </w:p>
    <w:p w:rsidR="00000000" w:rsidRPr="006C6CD3" w:rsidP="006C6CD3">
      <w:pPr>
        <w:pStyle w:val="AllowPageBreak"/>
      </w:pPr>
    </w:p>
    <w:p w:rsidR="00000000" w:rsidRPr="006C6CD3" w:rsidP="006C6CD3">
      <w:pPr>
        <w:pStyle w:val="Heading1"/>
      </w:pPr>
      <w:bookmarkStart w:id="2" w:name="O_1240637"/>
      <w:bookmarkEnd w:id="2"/>
      <w:r w:rsidRPr="006C6CD3">
        <w:t>Application</w:t>
      </w:r>
    </w:p>
    <w:tbl>
      <w:tblPr>
        <w:tblW w:w="9497" w:type="dxa"/>
        <w:tblLayout w:type="fixed"/>
        <w:tblCellMar>
          <w:left w:w="62" w:type="dxa"/>
          <w:right w:w="62" w:type="dxa"/>
        </w:tblCellMar>
        <w:tblLook w:val="0000"/>
      </w:tblPr>
      <w:tblGrid>
        <w:gridCol w:w="9497"/>
      </w:tblGrid>
      <w:tr w:rsidTr="006C6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t>This unit involves the skills and knowledge required to manage change in a rail safety environment and associated risks. Change may be required because o</w:t>
            </w:r>
            <w:r w:rsidRPr="006C6CD3">
              <w:t>f organisational restructuring or the introduction of new equipment, systems or practices.</w:t>
            </w:r>
          </w:p>
          <w:p w:rsidR="00000000" w:rsidRPr="006C6CD3" w:rsidP="006C6CD3">
            <w:pPr>
              <w:pStyle w:val="BodyText"/>
            </w:pPr>
            <w:r w:rsidRPr="006C6CD3">
              <w:t>It includes establishing the context for change, developing a risk management strategy, advertising workplace change, implementing a change management strategy and m</w:t>
            </w:r>
            <w:r w:rsidRPr="006C6CD3">
              <w:t>onitoring change process outcomes.</w:t>
            </w:r>
          </w:p>
          <w:p w:rsidR="00000000" w:rsidRPr="006C6CD3" w:rsidP="006C6CD3">
            <w:pPr>
              <w:pStyle w:val="BodyText"/>
            </w:pPr>
            <w:r w:rsidRPr="006C6CD3">
              <w:t>People achieving competence in this unit will need to fulfil the applicable state/territory legislated rail safety requirements and to comply with relevant codes of practice and/or guidelines and rail regulations.</w:t>
            </w:r>
          </w:p>
          <w:p w:rsidR="00000000" w:rsidRPr="006C6CD3" w:rsidP="006C6CD3">
            <w:pPr>
              <w:pStyle w:val="BodyText"/>
            </w:pPr>
            <w:r w:rsidRPr="006C6CD3">
              <w:t>No lice</w:t>
            </w:r>
            <w:r w:rsidRPr="006C6CD3">
              <w:t>nsing, legislative or certification requirements apply to this unit at the time of publication.</w:t>
            </w:r>
          </w:p>
        </w:tc>
      </w:tr>
    </w:tbl>
    <w:p w:rsidR="00000000" w:rsidRPr="006C6CD3" w:rsidP="006C6CD3">
      <w:pPr>
        <w:pStyle w:val="NoPaddingFontSize1"/>
      </w:pPr>
    </w:p>
    <w:p w:rsidR="00000000" w:rsidRPr="006C6CD3" w:rsidP="006C6CD3">
      <w:pPr>
        <w:pStyle w:val="AllowPageBreak"/>
      </w:pPr>
    </w:p>
    <w:p w:rsidR="00000000" w:rsidRPr="006C6CD3" w:rsidP="006C6CD3">
      <w:pPr>
        <w:pStyle w:val="Heading1"/>
      </w:pPr>
      <w:bookmarkStart w:id="3" w:name="O_1240636"/>
      <w:bookmarkEnd w:id="3"/>
      <w:r w:rsidRPr="006C6CD3">
        <w:t>Pre-requisite Unit</w:t>
      </w:r>
    </w:p>
    <w:tbl>
      <w:tblPr>
        <w:tblW w:w="9497" w:type="dxa"/>
        <w:tblLayout w:type="fixed"/>
        <w:tblCellMar>
          <w:left w:w="62" w:type="dxa"/>
          <w:right w:w="62" w:type="dxa"/>
        </w:tblCellMar>
        <w:tblLook w:val="0000"/>
      </w:tblPr>
      <w:tblGrid>
        <w:gridCol w:w="9497"/>
      </w:tblGrid>
      <w:tr w:rsidTr="006C6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t>Not applicable.</w:t>
            </w:r>
          </w:p>
        </w:tc>
      </w:tr>
    </w:tbl>
    <w:p w:rsidR="00000000" w:rsidRPr="006C6CD3" w:rsidP="006C6CD3">
      <w:pPr>
        <w:pStyle w:val="NoPaddingFontSize1"/>
      </w:pPr>
    </w:p>
    <w:p w:rsidR="00000000" w:rsidRPr="006C6CD3" w:rsidP="006C6CD3">
      <w:pPr>
        <w:pStyle w:val="AllowPageBreak"/>
      </w:pPr>
    </w:p>
    <w:p w:rsidR="00000000" w:rsidRPr="006C6CD3" w:rsidP="006C6CD3">
      <w:pPr>
        <w:pStyle w:val="Heading1"/>
      </w:pPr>
      <w:bookmarkStart w:id="4" w:name="O_1240635"/>
      <w:bookmarkEnd w:id="4"/>
      <w:r w:rsidRPr="006C6CD3">
        <w:t>Competency Field</w:t>
      </w:r>
    </w:p>
    <w:tbl>
      <w:tblPr>
        <w:tblW w:w="9497" w:type="dxa"/>
        <w:tblLayout w:type="fixed"/>
        <w:tblCellMar>
          <w:left w:w="62" w:type="dxa"/>
          <w:right w:w="62" w:type="dxa"/>
        </w:tblCellMar>
        <w:tblLook w:val="0000"/>
      </w:tblPr>
      <w:tblGrid>
        <w:gridCol w:w="9497"/>
      </w:tblGrid>
      <w:tr w:rsidTr="006C6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t>F – Safety Management</w:t>
            </w:r>
          </w:p>
        </w:tc>
      </w:tr>
    </w:tbl>
    <w:p w:rsidR="00000000" w:rsidRPr="006C6CD3" w:rsidP="006C6CD3">
      <w:pPr>
        <w:pStyle w:val="NoPaddingFontSize1"/>
      </w:pPr>
    </w:p>
    <w:p w:rsidR="00000000" w:rsidRPr="006C6CD3" w:rsidP="006C6CD3">
      <w:pPr>
        <w:pStyle w:val="AllowPageBreak"/>
      </w:pPr>
    </w:p>
    <w:p w:rsidR="00000000" w:rsidRPr="006C6CD3" w:rsidP="006C6CD3">
      <w:pPr>
        <w:pStyle w:val="Heading1"/>
      </w:pPr>
      <w:bookmarkStart w:id="5" w:name="O_1240634"/>
      <w:bookmarkEnd w:id="5"/>
      <w:r w:rsidRPr="006C6CD3">
        <w:t>Unit Sector</w:t>
      </w:r>
    </w:p>
    <w:tbl>
      <w:tblPr>
        <w:tblW w:w="9497" w:type="dxa"/>
        <w:tblLayout w:type="fixed"/>
        <w:tblCellMar>
          <w:left w:w="62" w:type="dxa"/>
          <w:right w:w="62" w:type="dxa"/>
        </w:tblCellMar>
        <w:tblLook w:val="0000"/>
      </w:tblPr>
      <w:tblGrid>
        <w:gridCol w:w="9497"/>
      </w:tblGrid>
      <w:tr w:rsidTr="006C6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t>Rail sector.</w:t>
            </w:r>
          </w:p>
        </w:tc>
      </w:tr>
    </w:tbl>
    <w:p w:rsidR="00000000" w:rsidRPr="006C6CD3" w:rsidP="006C6CD3">
      <w:pPr>
        <w:pStyle w:val="NoPaddingFontSize1"/>
      </w:pPr>
    </w:p>
    <w:p w:rsidR="00000000" w:rsidRPr="006C6CD3" w:rsidP="006C6CD3">
      <w:pPr>
        <w:pStyle w:val="AllowPageBreak"/>
      </w:pPr>
    </w:p>
    <w:p w:rsidR="00000000" w:rsidRPr="006C6CD3" w:rsidP="006C6CD3">
      <w:pPr>
        <w:pStyle w:val="Heading1"/>
      </w:pPr>
      <w:bookmarkStart w:id="6" w:name="O_1240633"/>
      <w:bookmarkEnd w:id="6"/>
      <w:r w:rsidRPr="006C6CD3">
        <w:t>Elements and Performance Criteria</w:t>
      </w:r>
    </w:p>
    <w:tbl>
      <w:tblPr>
        <w:tblW w:w="9498" w:type="dxa"/>
        <w:tblLayout w:type="fixed"/>
        <w:tblCellMar>
          <w:left w:w="62" w:type="dxa"/>
          <w:right w:w="62" w:type="dxa"/>
        </w:tblCellMar>
        <w:tblLook w:val="0000"/>
      </w:tblPr>
      <w:tblGrid>
        <w:gridCol w:w="676"/>
        <w:gridCol w:w="3096"/>
        <w:gridCol w:w="1306"/>
        <w:gridCol w:w="4420"/>
      </w:tblGrid>
      <w:tr w:rsidTr="006C6CD3">
        <w:tblPrEx>
          <w:tblW w:w="9498" w:type="dxa"/>
          <w:tblLayout w:type="fixed"/>
          <w:tblCellMar>
            <w:left w:w="62" w:type="dxa"/>
            <w:right w:w="62" w:type="dxa"/>
          </w:tblCellMar>
          <w:tblLook w:val="0000"/>
        </w:tblPrEx>
        <w:tc>
          <w:tcPr>
            <w:tcW w:w="3772" w:type="dxa"/>
            <w:gridSpan w:val="2"/>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Elements describe the essential outcomes.</w:t>
            </w:r>
          </w:p>
        </w:tc>
        <w:tc>
          <w:tcPr>
            <w:tcW w:w="5726" w:type="dxa"/>
            <w:gridSpan w:val="2"/>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Performance criteria describe the performance needed to demonstrate achievement of the element.</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rPr>
                <w:rStyle w:val="SpecialBold"/>
              </w:rPr>
              <w:t>1</w:t>
            </w:r>
          </w:p>
        </w:tc>
        <w:tc>
          <w:tcPr>
            <w:tcW w:w="3096"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rPr>
                <w:rStyle w:val="SpecialBold"/>
              </w:rPr>
              <w:t>Establish the context for change</w:t>
            </w: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1.1</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Requirement for change is confirmed through consideration of changes to legislation, business or organisational requirements</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6" w:type="dxa"/>
            <w:tcBorders>
              <w:top w:val="nil"/>
              <w:left w:val="nil"/>
              <w:bottom w:val="nil"/>
              <w:right w:val="nil"/>
            </w:tcBorders>
            <w:tcMar>
              <w:top w:w="0" w:type="dxa"/>
              <w:left w:w="62" w:type="dxa"/>
              <w:bottom w:w="0" w:type="dxa"/>
              <w:right w:w="62" w:type="dxa"/>
            </w:tcMar>
          </w:tcPr>
          <w:p w:rsidR="00000000" w:rsidRPr="006C6CD3">
            <w:pPr>
              <w:pStyle w:val="BodyText"/>
              <w:keepLines w:val="0"/>
              <w:spacing w:before="0" w:after="0"/>
            </w:pP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1.2</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Key stakeholders are identified and consulted on proposed change</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6" w:type="dxa"/>
            <w:tcBorders>
              <w:top w:val="nil"/>
              <w:left w:val="nil"/>
              <w:bottom w:val="nil"/>
              <w:right w:val="nil"/>
            </w:tcBorders>
            <w:tcMar>
              <w:top w:w="0" w:type="dxa"/>
              <w:left w:w="62" w:type="dxa"/>
              <w:bottom w:w="0" w:type="dxa"/>
              <w:right w:w="62" w:type="dxa"/>
            </w:tcMar>
          </w:tcPr>
          <w:p w:rsidR="00000000" w:rsidRPr="006C6CD3">
            <w:pPr>
              <w:pStyle w:val="BodyText"/>
              <w:keepLines w:val="0"/>
              <w:spacing w:before="0" w:after="0"/>
            </w:pP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1.3</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Benchmarking is conducted with other similar organisational/functional/best practice standards to confirm preferred methodology for managing change</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6" w:type="dxa"/>
            <w:tcBorders>
              <w:top w:val="nil"/>
              <w:left w:val="nil"/>
              <w:bottom w:val="nil"/>
              <w:right w:val="nil"/>
            </w:tcBorders>
            <w:tcMar>
              <w:top w:w="0" w:type="dxa"/>
              <w:left w:w="62" w:type="dxa"/>
              <w:bottom w:w="0" w:type="dxa"/>
              <w:right w:w="62" w:type="dxa"/>
            </w:tcMar>
          </w:tcPr>
          <w:p w:rsidR="00000000" w:rsidRPr="006C6CD3">
            <w:pPr>
              <w:pStyle w:val="BodyText"/>
              <w:keepLines w:val="0"/>
              <w:spacing w:before="0" w:after="0"/>
            </w:pP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1.4</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 xml:space="preserve">Specialists and experts are consulted as required to assist in identifying major change requirements </w:t>
            </w:r>
            <w:r w:rsidRPr="006C6CD3">
              <w:t>or opportunities</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6" w:type="dxa"/>
            <w:tcBorders>
              <w:top w:val="nil"/>
              <w:left w:val="nil"/>
              <w:bottom w:val="nil"/>
              <w:right w:val="nil"/>
            </w:tcBorders>
            <w:tcMar>
              <w:top w:w="0" w:type="dxa"/>
              <w:left w:w="62" w:type="dxa"/>
              <w:bottom w:w="0" w:type="dxa"/>
              <w:right w:w="62" w:type="dxa"/>
            </w:tcMar>
          </w:tcPr>
          <w:p w:rsidR="00000000" w:rsidRPr="006C6CD3">
            <w:pPr>
              <w:pStyle w:val="BodyText"/>
              <w:keepLines w:val="0"/>
              <w:spacing w:before="0" w:after="0"/>
            </w:pP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1.5</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Overall life cycle and phases of change are identified</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rPr>
                <w:rStyle w:val="SpecialBold"/>
              </w:rPr>
              <w:t>2</w:t>
            </w:r>
          </w:p>
        </w:tc>
        <w:tc>
          <w:tcPr>
            <w:tcW w:w="3096"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rPr>
                <w:rStyle w:val="SpecialBold"/>
              </w:rPr>
              <w:t>Develop risk management strategy</w:t>
            </w: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2.1</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Risk assessment is conducted to identify risks and hazards related to change</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6" w:type="dxa"/>
            <w:tcBorders>
              <w:top w:val="nil"/>
              <w:left w:val="nil"/>
              <w:bottom w:val="nil"/>
              <w:right w:val="nil"/>
            </w:tcBorders>
            <w:tcMar>
              <w:top w:w="0" w:type="dxa"/>
              <w:left w:w="62" w:type="dxa"/>
              <w:bottom w:w="0" w:type="dxa"/>
              <w:right w:w="62" w:type="dxa"/>
            </w:tcMar>
          </w:tcPr>
          <w:p w:rsidR="00000000" w:rsidRPr="006C6CD3">
            <w:pPr>
              <w:pStyle w:val="BodyText"/>
              <w:keepLines w:val="0"/>
              <w:spacing w:before="0" w:after="0"/>
            </w:pP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2.2</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Identified risks are evaluated and controls are estab</w:t>
            </w:r>
            <w:r w:rsidRPr="006C6CD3">
              <w:t>lished so far as is reasonably practicable in accordance with organisational policy and procedures</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6" w:type="dxa"/>
            <w:tcBorders>
              <w:top w:val="nil"/>
              <w:left w:val="nil"/>
              <w:bottom w:val="nil"/>
              <w:right w:val="nil"/>
            </w:tcBorders>
            <w:tcMar>
              <w:top w:w="0" w:type="dxa"/>
              <w:left w:w="62" w:type="dxa"/>
              <w:bottom w:w="0" w:type="dxa"/>
              <w:right w:w="62" w:type="dxa"/>
            </w:tcMar>
          </w:tcPr>
          <w:p w:rsidR="00000000" w:rsidRPr="006C6CD3">
            <w:pPr>
              <w:pStyle w:val="BodyText"/>
              <w:keepLines w:val="0"/>
              <w:spacing w:before="0" w:after="0"/>
            </w:pP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2.3</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Responsibility for managing established controls is determined</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rPr>
                <w:rStyle w:val="SpecialBold"/>
              </w:rPr>
              <w:t>3</w:t>
            </w:r>
          </w:p>
        </w:tc>
        <w:tc>
          <w:tcPr>
            <w:tcW w:w="3096"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rPr>
                <w:rStyle w:val="SpecialBold"/>
              </w:rPr>
              <w:t>Develop implementation plan</w:t>
            </w: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3.1</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Complexity of change is identified and appropriate phases and transition plans are developed</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6" w:type="dxa"/>
            <w:tcBorders>
              <w:top w:val="nil"/>
              <w:left w:val="nil"/>
              <w:bottom w:val="nil"/>
              <w:right w:val="nil"/>
            </w:tcBorders>
            <w:tcMar>
              <w:top w:w="0" w:type="dxa"/>
              <w:left w:w="62" w:type="dxa"/>
              <w:bottom w:w="0" w:type="dxa"/>
              <w:right w:w="62" w:type="dxa"/>
            </w:tcMar>
          </w:tcPr>
          <w:p w:rsidR="00000000" w:rsidRPr="006C6CD3">
            <w:pPr>
              <w:pStyle w:val="BodyText"/>
              <w:keepLines w:val="0"/>
              <w:spacing w:before="0" w:after="0"/>
            </w:pP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3.2</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Communications strategy is developed in collaboration with key stakeholders</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6" w:type="dxa"/>
            <w:tcBorders>
              <w:top w:val="nil"/>
              <w:left w:val="nil"/>
              <w:bottom w:val="nil"/>
              <w:right w:val="nil"/>
            </w:tcBorders>
            <w:tcMar>
              <w:top w:w="0" w:type="dxa"/>
              <w:left w:w="62" w:type="dxa"/>
              <w:bottom w:w="0" w:type="dxa"/>
              <w:right w:w="62" w:type="dxa"/>
            </w:tcMar>
          </w:tcPr>
          <w:p w:rsidR="00000000" w:rsidRPr="006C6CD3">
            <w:pPr>
              <w:pStyle w:val="BodyText"/>
              <w:keepLines w:val="0"/>
              <w:spacing w:before="0" w:after="0"/>
            </w:pP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3.3</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Modifications to systems and infrastructure are identified</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6" w:type="dxa"/>
            <w:tcBorders>
              <w:top w:val="nil"/>
              <w:left w:val="nil"/>
              <w:bottom w:val="nil"/>
              <w:right w:val="nil"/>
            </w:tcBorders>
            <w:tcMar>
              <w:top w:w="0" w:type="dxa"/>
              <w:left w:w="62" w:type="dxa"/>
              <w:bottom w:w="0" w:type="dxa"/>
              <w:right w:w="62" w:type="dxa"/>
            </w:tcMar>
          </w:tcPr>
          <w:p w:rsidR="00000000" w:rsidRPr="006C6CD3">
            <w:pPr>
              <w:pStyle w:val="BodyText"/>
              <w:keepLines w:val="0"/>
              <w:spacing w:before="0" w:after="0"/>
            </w:pP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3.4</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Resources required to implement change are identified</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6" w:type="dxa"/>
            <w:tcBorders>
              <w:top w:val="nil"/>
              <w:left w:val="nil"/>
              <w:bottom w:val="nil"/>
              <w:right w:val="nil"/>
            </w:tcBorders>
            <w:tcMar>
              <w:top w:w="0" w:type="dxa"/>
              <w:left w:w="62" w:type="dxa"/>
              <w:bottom w:w="0" w:type="dxa"/>
              <w:right w:w="62" w:type="dxa"/>
            </w:tcMar>
          </w:tcPr>
          <w:p w:rsidR="00000000" w:rsidRPr="006C6CD3">
            <w:pPr>
              <w:pStyle w:val="BodyText"/>
              <w:keepLines w:val="0"/>
              <w:spacing w:before="0" w:after="0"/>
            </w:pP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3.5</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Affected personnel and required training/up skilling is identified</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6" w:type="dxa"/>
            <w:tcBorders>
              <w:top w:val="nil"/>
              <w:left w:val="nil"/>
              <w:bottom w:val="nil"/>
              <w:right w:val="nil"/>
            </w:tcBorders>
            <w:tcMar>
              <w:top w:w="0" w:type="dxa"/>
              <w:left w:w="62" w:type="dxa"/>
              <w:bottom w:w="0" w:type="dxa"/>
              <w:right w:w="62" w:type="dxa"/>
            </w:tcMar>
          </w:tcPr>
          <w:p w:rsidR="00000000" w:rsidRPr="006C6CD3">
            <w:pPr>
              <w:pStyle w:val="BodyText"/>
              <w:keepLines w:val="0"/>
              <w:spacing w:before="0" w:after="0"/>
            </w:pP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3.6</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Updating of risk registers and other safety documentation is identified</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6" w:type="dxa"/>
            <w:tcBorders>
              <w:top w:val="nil"/>
              <w:left w:val="nil"/>
              <w:bottom w:val="nil"/>
              <w:right w:val="nil"/>
            </w:tcBorders>
            <w:tcMar>
              <w:top w:w="0" w:type="dxa"/>
              <w:left w:w="62" w:type="dxa"/>
              <w:bottom w:w="0" w:type="dxa"/>
              <w:right w:w="62" w:type="dxa"/>
            </w:tcMar>
          </w:tcPr>
          <w:p w:rsidR="00000000" w:rsidRPr="006C6CD3">
            <w:pPr>
              <w:pStyle w:val="BodyText"/>
              <w:keepLines w:val="0"/>
              <w:spacing w:before="0" w:after="0"/>
            </w:pP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3.7</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Procedures for post-implementation monitor</w:t>
            </w:r>
            <w:r w:rsidRPr="006C6CD3">
              <w:t>ing and review are established</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6" w:type="dxa"/>
            <w:tcBorders>
              <w:top w:val="nil"/>
              <w:left w:val="nil"/>
              <w:bottom w:val="nil"/>
              <w:right w:val="nil"/>
            </w:tcBorders>
            <w:tcMar>
              <w:top w:w="0" w:type="dxa"/>
              <w:left w:w="62" w:type="dxa"/>
              <w:bottom w:w="0" w:type="dxa"/>
              <w:right w:w="62" w:type="dxa"/>
            </w:tcMar>
          </w:tcPr>
          <w:p w:rsidR="00000000" w:rsidRPr="006C6CD3">
            <w:pPr>
              <w:pStyle w:val="BodyText"/>
              <w:keepLines w:val="0"/>
              <w:spacing w:before="0" w:after="0"/>
            </w:pP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3.8</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Changes are documented and approval by key stakeholders is obtained in accordance with regulatory and organisational requirements</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rPr>
                <w:rStyle w:val="SpecialBold"/>
              </w:rPr>
              <w:t>4</w:t>
            </w:r>
          </w:p>
        </w:tc>
        <w:tc>
          <w:tcPr>
            <w:tcW w:w="3096"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rPr>
                <w:rStyle w:val="SpecialBold"/>
              </w:rPr>
              <w:t>Communicate workplace change</w:t>
            </w: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4.1</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Anticipated change is advertised to appropriate organisational personnel who will be affected by change</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6" w:type="dxa"/>
            <w:tcBorders>
              <w:top w:val="nil"/>
              <w:left w:val="nil"/>
              <w:bottom w:val="nil"/>
              <w:right w:val="nil"/>
            </w:tcBorders>
            <w:tcMar>
              <w:top w:w="0" w:type="dxa"/>
              <w:left w:w="62" w:type="dxa"/>
              <w:bottom w:w="0" w:type="dxa"/>
              <w:right w:w="62" w:type="dxa"/>
            </w:tcMar>
          </w:tcPr>
          <w:p w:rsidR="00000000" w:rsidRPr="006C6CD3">
            <w:pPr>
              <w:pStyle w:val="BodyText"/>
              <w:keepLines w:val="0"/>
              <w:spacing w:before="0" w:after="0"/>
            </w:pP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4.2</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Range of strategies is used to foster a positive attitude to change, especially from individuals on whom organisational change will have the most</w:t>
            </w:r>
            <w:r w:rsidRPr="006C6CD3">
              <w:t xml:space="preserve"> effect</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6" w:type="dxa"/>
            <w:tcBorders>
              <w:top w:val="nil"/>
              <w:left w:val="nil"/>
              <w:bottom w:val="nil"/>
              <w:right w:val="nil"/>
            </w:tcBorders>
            <w:tcMar>
              <w:top w:w="0" w:type="dxa"/>
              <w:left w:w="62" w:type="dxa"/>
              <w:bottom w:w="0" w:type="dxa"/>
              <w:right w:w="62" w:type="dxa"/>
            </w:tcMar>
          </w:tcPr>
          <w:p w:rsidR="00000000" w:rsidRPr="006C6CD3">
            <w:pPr>
              <w:pStyle w:val="BodyText"/>
              <w:keepLines w:val="0"/>
              <w:spacing w:before="0" w:after="0"/>
            </w:pP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4.3</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Advice is provided to key stakeholders on strategies for effective change management and sensitivity is shown to people’s individual responses to change</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6" w:type="dxa"/>
            <w:tcBorders>
              <w:top w:val="nil"/>
              <w:left w:val="nil"/>
              <w:bottom w:val="nil"/>
              <w:right w:val="nil"/>
            </w:tcBorders>
            <w:tcMar>
              <w:top w:w="0" w:type="dxa"/>
              <w:left w:w="62" w:type="dxa"/>
              <w:bottom w:w="0" w:type="dxa"/>
              <w:right w:w="62" w:type="dxa"/>
            </w:tcMar>
          </w:tcPr>
          <w:p w:rsidR="00000000" w:rsidRPr="006C6CD3">
            <w:pPr>
              <w:pStyle w:val="BodyText"/>
              <w:keepLines w:val="0"/>
              <w:spacing w:before="0" w:after="0"/>
            </w:pP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4.4</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Leadership and communications strategies are used to assist others to deal with a</w:t>
            </w:r>
            <w:r w:rsidRPr="006C6CD3">
              <w:t>mbiguity and to adapt to change</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rPr>
                <w:rStyle w:val="SpecialBold"/>
              </w:rPr>
              <w:t>5</w:t>
            </w:r>
          </w:p>
        </w:tc>
        <w:tc>
          <w:tcPr>
            <w:tcW w:w="3096"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rPr>
                <w:rStyle w:val="SpecialBold"/>
              </w:rPr>
              <w:t>Implement workplace change</w:t>
            </w: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5.1</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Policies, practices and procedures are altered and implemented, as required, to support change management strategy</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6" w:type="dxa"/>
            <w:tcBorders>
              <w:top w:val="nil"/>
              <w:left w:val="nil"/>
              <w:bottom w:val="nil"/>
              <w:right w:val="nil"/>
            </w:tcBorders>
            <w:tcMar>
              <w:top w:w="0" w:type="dxa"/>
              <w:left w:w="62" w:type="dxa"/>
              <w:bottom w:w="0" w:type="dxa"/>
              <w:right w:w="62" w:type="dxa"/>
            </w:tcMar>
          </w:tcPr>
          <w:p w:rsidR="00000000" w:rsidRPr="006C6CD3">
            <w:pPr>
              <w:pStyle w:val="BodyText"/>
              <w:keepLines w:val="0"/>
              <w:spacing w:before="0" w:after="0"/>
            </w:pP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5.2</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Modifications to systems and infrastructure are implemented</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6" w:type="dxa"/>
            <w:tcBorders>
              <w:top w:val="nil"/>
              <w:left w:val="nil"/>
              <w:bottom w:val="nil"/>
              <w:right w:val="nil"/>
            </w:tcBorders>
            <w:tcMar>
              <w:top w:w="0" w:type="dxa"/>
              <w:left w:w="62" w:type="dxa"/>
              <w:bottom w:w="0" w:type="dxa"/>
              <w:right w:w="62" w:type="dxa"/>
            </w:tcMar>
          </w:tcPr>
          <w:p w:rsidR="00000000" w:rsidRPr="006C6CD3">
            <w:pPr>
              <w:pStyle w:val="BodyText"/>
              <w:keepLines w:val="0"/>
              <w:spacing w:before="0" w:after="0"/>
            </w:pP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5.3</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Required training/up skilling of affected personnel is facilitated</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6" w:type="dxa"/>
            <w:tcBorders>
              <w:top w:val="nil"/>
              <w:left w:val="nil"/>
              <w:bottom w:val="nil"/>
              <w:right w:val="nil"/>
            </w:tcBorders>
            <w:tcMar>
              <w:top w:w="0" w:type="dxa"/>
              <w:left w:w="62" w:type="dxa"/>
              <w:bottom w:w="0" w:type="dxa"/>
              <w:right w:w="62" w:type="dxa"/>
            </w:tcMar>
          </w:tcPr>
          <w:p w:rsidR="00000000" w:rsidRPr="006C6CD3">
            <w:pPr>
              <w:pStyle w:val="BodyText"/>
              <w:keepLines w:val="0"/>
              <w:spacing w:before="0" w:after="0"/>
            </w:pP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5.4</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Risk registers and other safety documentation are updated to reflect implemented change</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rPr>
                <w:rStyle w:val="SpecialBold"/>
              </w:rPr>
              <w:t>6</w:t>
            </w:r>
          </w:p>
        </w:tc>
        <w:tc>
          <w:tcPr>
            <w:tcW w:w="3096"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rPr>
                <w:rStyle w:val="SpecialBold"/>
              </w:rPr>
              <w:t>Monitor and review change process and outcomes</w:t>
            </w: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6.1</w:t>
            </w:r>
          </w:p>
        </w:tc>
        <w:tc>
          <w:tcPr>
            <w:tcW w:w="4420"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Organisat</w:t>
            </w:r>
            <w:r w:rsidRPr="006C6CD3">
              <w:t>ional safety management system is reviewed and revised to reflect change</w:t>
            </w:r>
          </w:p>
        </w:tc>
      </w:tr>
      <w:tr w:rsidTr="006C6CD3">
        <w:tblPrEx>
          <w:tblW w:w="9498" w:type="dxa"/>
          <w:tblLayout w:type="fixed"/>
          <w:tblCellMar>
            <w:left w:w="62" w:type="dxa"/>
            <w:right w:w="62" w:type="dxa"/>
          </w:tblCellMar>
          <w:tblLook w:val="0000"/>
        </w:tblPrEx>
        <w:tc>
          <w:tcPr>
            <w:tcW w:w="6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6" w:type="dxa"/>
            <w:tcBorders>
              <w:top w:val="nil"/>
              <w:left w:val="nil"/>
              <w:bottom w:val="nil"/>
              <w:right w:val="nil"/>
            </w:tcBorders>
            <w:tcMar>
              <w:top w:w="0" w:type="dxa"/>
              <w:left w:w="62" w:type="dxa"/>
              <w:bottom w:w="0" w:type="dxa"/>
              <w:right w:w="62" w:type="dxa"/>
            </w:tcMar>
          </w:tcPr>
          <w:p w:rsidR="00000000" w:rsidRPr="006C6CD3">
            <w:pPr>
              <w:pStyle w:val="BodyText"/>
              <w:keepLines w:val="0"/>
              <w:spacing w:before="0" w:after="0"/>
            </w:pPr>
          </w:p>
        </w:tc>
        <w:tc>
          <w:tcPr>
            <w:tcW w:w="1306"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rPr>
                <w:rStyle w:val="SpecialBold"/>
              </w:rPr>
              <w:t>6.2</w:t>
            </w:r>
          </w:p>
        </w:tc>
        <w:tc>
          <w:tcPr>
            <w:tcW w:w="4420"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t>Ongoing processes are monitored following implementation of change to ensure it is meeting organisational requirements</w:t>
            </w:r>
          </w:p>
        </w:tc>
      </w:tr>
    </w:tbl>
    <w:p w:rsidR="00000000" w:rsidRPr="006C6CD3" w:rsidP="006C6CD3">
      <w:pPr>
        <w:pStyle w:val="NoPaddingFontSize1"/>
      </w:pPr>
    </w:p>
    <w:p w:rsidR="00000000" w:rsidRPr="006C6CD3" w:rsidP="006C6CD3">
      <w:pPr>
        <w:pStyle w:val="AllowPageBreak"/>
      </w:pPr>
    </w:p>
    <w:p w:rsidR="00000000" w:rsidRPr="006C6CD3" w:rsidP="006C6CD3">
      <w:pPr>
        <w:pStyle w:val="Heading1"/>
      </w:pPr>
      <w:bookmarkStart w:id="7" w:name="O_1240632"/>
      <w:bookmarkEnd w:id="7"/>
      <w:r w:rsidRPr="006C6CD3">
        <w:t>Foundation Skills</w:t>
      </w:r>
    </w:p>
    <w:tbl>
      <w:tblPr>
        <w:tblW w:w="9497" w:type="dxa"/>
        <w:tblLayout w:type="fixed"/>
        <w:tblCellMar>
          <w:left w:w="62" w:type="dxa"/>
          <w:right w:w="62" w:type="dxa"/>
        </w:tblCellMar>
        <w:tblLook w:val="0000"/>
      </w:tblPr>
      <w:tblGrid>
        <w:gridCol w:w="9497"/>
      </w:tblGrid>
      <w:tr w:rsidTr="006C6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t xml:space="preserve">Foundation skills </w:t>
            </w:r>
            <w:r w:rsidRPr="006C6CD3">
              <w:t>essential to performance are explicit in the performance criteria of this unit of competency.</w:t>
            </w:r>
          </w:p>
        </w:tc>
      </w:tr>
    </w:tbl>
    <w:p w:rsidR="00000000" w:rsidRPr="006C6CD3" w:rsidP="006C6CD3">
      <w:pPr>
        <w:pStyle w:val="NoPaddingFontSize1"/>
      </w:pPr>
    </w:p>
    <w:p w:rsidR="00000000" w:rsidRPr="006C6CD3" w:rsidP="006C6CD3">
      <w:pPr>
        <w:pStyle w:val="AllowPageBreak"/>
      </w:pPr>
    </w:p>
    <w:p w:rsidR="00000000" w:rsidRPr="006C6CD3" w:rsidP="006C6CD3">
      <w:pPr>
        <w:pStyle w:val="Heading1"/>
      </w:pPr>
      <w:bookmarkStart w:id="8" w:name="O_1240631"/>
      <w:bookmarkEnd w:id="8"/>
      <w:r w:rsidRPr="006C6CD3">
        <w:t>Range of Conditions</w:t>
      </w:r>
    </w:p>
    <w:tbl>
      <w:tblPr>
        <w:tblW w:w="9497" w:type="dxa"/>
        <w:tblLayout w:type="fixed"/>
        <w:tblCellMar>
          <w:left w:w="62" w:type="dxa"/>
          <w:right w:w="62" w:type="dxa"/>
        </w:tblCellMar>
        <w:tblLook w:val="0000"/>
      </w:tblPr>
      <w:tblGrid>
        <w:gridCol w:w="9497"/>
      </w:tblGrid>
      <w:tr w:rsidTr="006C6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t>Range is restricted to essential operating conditions and any other variables essential to the work environment.</w:t>
            </w:r>
          </w:p>
          <w:p w:rsidR="00000000" w:rsidRPr="006C6CD3" w:rsidP="006C6CD3">
            <w:pPr>
              <w:pStyle w:val="BodyText"/>
            </w:pPr>
            <w:r w:rsidRPr="006C6CD3">
              <w:t>Non-essential conditions can be found in the TLI Transport and Logistics Training Package Companion Volume Implementation Guide.</w:t>
            </w:r>
          </w:p>
        </w:tc>
      </w:tr>
    </w:tbl>
    <w:p w:rsidR="00000000" w:rsidRPr="006C6CD3" w:rsidP="006C6CD3">
      <w:pPr>
        <w:pStyle w:val="NoPaddingFontSize1"/>
      </w:pPr>
    </w:p>
    <w:p w:rsidR="00000000" w:rsidRPr="006C6CD3" w:rsidP="006C6CD3">
      <w:pPr>
        <w:pStyle w:val="AllowPageBreak"/>
      </w:pPr>
    </w:p>
    <w:p w:rsidR="00000000" w:rsidRPr="006C6CD3" w:rsidP="006C6CD3">
      <w:pPr>
        <w:pStyle w:val="Heading1"/>
      </w:pPr>
      <w:bookmarkStart w:id="9" w:name="O_1240630"/>
      <w:bookmarkEnd w:id="9"/>
      <w:r w:rsidRPr="006C6CD3">
        <w:t>Unit Mapping Information</w:t>
      </w:r>
    </w:p>
    <w:tbl>
      <w:tblPr>
        <w:tblW w:w="9497" w:type="dxa"/>
        <w:tblLayout w:type="fixed"/>
        <w:tblCellMar>
          <w:left w:w="62" w:type="dxa"/>
          <w:right w:w="62" w:type="dxa"/>
        </w:tblCellMar>
        <w:tblLook w:val="0000"/>
      </w:tblPr>
      <w:tblGrid>
        <w:gridCol w:w="9497"/>
      </w:tblGrid>
      <w:tr w:rsidTr="006C6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t>This unit replaces and is equivalent to TLIF4104A Manage change in the rail safet</w:t>
            </w:r>
            <w:r w:rsidRPr="006C6CD3">
              <w:t>y environment.</w:t>
            </w:r>
          </w:p>
        </w:tc>
      </w:tr>
    </w:tbl>
    <w:p w:rsidR="00000000" w:rsidRPr="006C6CD3" w:rsidP="006C6CD3">
      <w:pPr>
        <w:pStyle w:val="NoPaddingFontSize1"/>
      </w:pPr>
    </w:p>
    <w:p w:rsidR="00000000" w:rsidRPr="006C6CD3" w:rsidP="006C6CD3">
      <w:pPr>
        <w:pStyle w:val="AllowPageBreak"/>
      </w:pPr>
    </w:p>
    <w:p w:rsidR="00000000" w:rsidRPr="006C6CD3" w:rsidP="006C6CD3">
      <w:pPr>
        <w:pStyle w:val="Heading1"/>
      </w:pPr>
      <w:bookmarkStart w:id="10" w:name="O_1240639"/>
      <w:bookmarkEnd w:id="10"/>
      <w:r w:rsidRPr="006C6CD3">
        <w:t>Links</w:t>
      </w:r>
    </w:p>
    <w:p w:rsidR="00000000" w:rsidRPr="006C6CD3" w:rsidP="00C853EF">
      <w:pPr>
        <w:pStyle w:val="BodyText"/>
      </w:pPr>
      <w:r w:rsidRPr="006C6CD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A312E">
        <w:rPr>
          <w:rStyle w:val="Hyperlink"/>
        </w:rPr>
        <w:t>https://vetnet.gov.au/Pages/TrainingDocs.aspx?q=df441c6e-213d-43e3-874c-0b3f7036d851</w:t>
      </w:r>
      <w:r>
        <w:fldChar w:fldCharType="end"/>
      </w:r>
    </w:p>
    <w:p w:rsidR="00000000" w:rsidRPr="006C6CD3" w:rsidP="00C853EF">
      <w:pPr>
        <w:pStyle w:val="BodyText"/>
        <w:sectPr w:rsidSect="006C6CD3">
          <w:headerReference w:type="default" r:id="rId10"/>
          <w:footerReference w:type="default" r:id="rId11"/>
          <w:pgSz w:w="11908" w:h="16833"/>
          <w:pgMar w:top="1702" w:right="1418" w:bottom="1702" w:left="1418" w:header="992" w:footer="992" w:gutter="0"/>
          <w:cols w:space="720"/>
          <w:noEndnote/>
          <w:docGrid w:linePitch="299"/>
        </w:sectPr>
      </w:pPr>
    </w:p>
    <w:p w:rsidR="00000000" w:rsidRPr="006C6CD3" w:rsidP="006C6CD3">
      <w:pPr>
        <w:pStyle w:val="SuperHeading"/>
      </w:pPr>
      <w:r w:rsidRPr="006C6CD3">
        <w:t xml:space="preserve">Assessment </w:t>
      </w:r>
      <w:r w:rsidRPr="006C6CD3">
        <w:t>Requirements for TLIF4104 Manage change in the rail safety environment</w:t>
      </w:r>
    </w:p>
    <w:p w:rsidR="00000000" w:rsidRPr="006C6CD3" w:rsidP="006C6CD3">
      <w:pPr>
        <w:pStyle w:val="Heading1"/>
      </w:pPr>
      <w:bookmarkStart w:id="11" w:name="O_1240628"/>
      <w:bookmarkEnd w:id="11"/>
      <w:r w:rsidRPr="006C6CD3">
        <w:t>Modification History</w:t>
      </w:r>
    </w:p>
    <w:tbl>
      <w:tblPr>
        <w:tblW w:w="9497" w:type="dxa"/>
        <w:tblLayout w:type="fixed"/>
        <w:tblCellMar>
          <w:left w:w="62" w:type="dxa"/>
          <w:right w:w="62" w:type="dxa"/>
        </w:tblCellMar>
        <w:tblLook w:val="0000"/>
      </w:tblPr>
      <w:tblGrid>
        <w:gridCol w:w="9497"/>
      </w:tblGrid>
      <w:tr w:rsidTr="006C6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rPr>
                <w:rStyle w:val="SpecialBold"/>
              </w:rPr>
              <w:t>Release 2</w:t>
            </w:r>
            <w:r w:rsidRPr="006C6CD3">
              <w:t>. This is the second release of this unit of competency in the TLI Transport and Logistics Training Package:</w:t>
            </w:r>
          </w:p>
          <w:p w:rsidR="00000000" w:rsidP="006C6CD3">
            <w:pPr>
              <w:pStyle w:val="ListBullet"/>
              <w:rPr>
                <w:lang w:val="en-NZ"/>
              </w:rPr>
            </w:pPr>
            <w:r w:rsidRPr="006C6CD3">
              <w:t xml:space="preserve">Minor statement changes in </w:t>
            </w:r>
            <w:r w:rsidRPr="006C6CD3">
              <w:t>Assessment Conditions.</w:t>
            </w:r>
          </w:p>
        </w:tc>
      </w:tr>
      <w:tr w:rsidTr="006C6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rPr>
                <w:rStyle w:val="SpecialBold"/>
              </w:rPr>
              <w:t>Release 1</w:t>
            </w:r>
            <w:r w:rsidRPr="006C6CD3">
              <w:t>. This is the first release of this unit of competency in the TLI Transport and Logistics Training Package.</w:t>
            </w:r>
          </w:p>
        </w:tc>
      </w:tr>
    </w:tbl>
    <w:p w:rsidR="00000000" w:rsidRPr="006C6CD3" w:rsidP="006C6CD3">
      <w:pPr>
        <w:pStyle w:val="NoPaddingFontSize1"/>
      </w:pPr>
    </w:p>
    <w:p w:rsidR="00000000" w:rsidRPr="006C6CD3" w:rsidP="006C6CD3">
      <w:pPr>
        <w:pStyle w:val="AllowPageBreak"/>
      </w:pPr>
    </w:p>
    <w:p w:rsidR="00000000" w:rsidRPr="006C6CD3" w:rsidP="006C6CD3">
      <w:pPr>
        <w:pStyle w:val="Heading1"/>
      </w:pPr>
      <w:bookmarkStart w:id="12" w:name="O_1240627"/>
      <w:bookmarkEnd w:id="12"/>
      <w:r w:rsidRPr="006C6CD3">
        <w:t>Performance Evidence</w:t>
      </w:r>
    </w:p>
    <w:tbl>
      <w:tblPr>
        <w:tblW w:w="9497" w:type="dxa"/>
        <w:tblLayout w:type="fixed"/>
        <w:tblCellMar>
          <w:left w:w="62" w:type="dxa"/>
          <w:right w:w="62" w:type="dxa"/>
        </w:tblCellMar>
        <w:tblLook w:val="0000"/>
      </w:tblPr>
      <w:tblGrid>
        <w:gridCol w:w="9497"/>
      </w:tblGrid>
      <w:tr w:rsidTr="006C6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Evidence required to demonstrate competence in this unit must be relevant to and satisfy all of the requirements of the elements and performance criteria on at least one occasion and include:</w:t>
            </w:r>
          </w:p>
        </w:tc>
      </w:tr>
      <w:tr w:rsidTr="006C6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6CD3" w:rsidP="006C6CD3">
            <w:pPr>
              <w:pStyle w:val="ListBullet"/>
            </w:pPr>
            <w:r w:rsidRPr="006C6CD3">
              <w:t xml:space="preserve">adapting to changes in relevant legislation and regulations </w:t>
            </w:r>
          </w:p>
          <w:p w:rsidR="00000000" w:rsidRPr="006C6CD3" w:rsidP="006C6CD3">
            <w:pPr>
              <w:pStyle w:val="ListBullet"/>
            </w:pPr>
            <w:r w:rsidRPr="006C6CD3">
              <w:t>a</w:t>
            </w:r>
            <w:r w:rsidRPr="006C6CD3">
              <w:t>pplying relevant legislation and workplace procedures</w:t>
            </w:r>
          </w:p>
          <w:p w:rsidR="00000000" w:rsidRPr="006C6CD3" w:rsidP="006C6CD3">
            <w:pPr>
              <w:pStyle w:val="ListBullet"/>
            </w:pPr>
            <w:r w:rsidRPr="006C6CD3">
              <w:t xml:space="preserve">communicating effectively and working collaboratively with others, including using appropriate words and language structure to explain complex ideas </w:t>
            </w:r>
          </w:p>
          <w:p w:rsidR="00000000" w:rsidRPr="006C6CD3" w:rsidP="006C6CD3">
            <w:pPr>
              <w:pStyle w:val="ListBullet"/>
            </w:pPr>
            <w:r w:rsidRPr="006C6CD3">
              <w:t xml:space="preserve">conducting a review of an implemented change within </w:t>
            </w:r>
            <w:r w:rsidRPr="006C6CD3">
              <w:t>an organisation</w:t>
            </w:r>
          </w:p>
          <w:p w:rsidR="00000000" w:rsidRPr="006C6CD3" w:rsidP="006C6CD3">
            <w:pPr>
              <w:pStyle w:val="ListBullet"/>
            </w:pPr>
            <w:r w:rsidRPr="006C6CD3">
              <w:t>conducting risk assessments</w:t>
            </w:r>
          </w:p>
          <w:p w:rsidR="00000000" w:rsidRPr="006C6CD3" w:rsidP="006C6CD3">
            <w:pPr>
              <w:pStyle w:val="ListBullet"/>
            </w:pPr>
            <w:r w:rsidRPr="006C6CD3">
              <w:t xml:space="preserve">consulting with stakeholders </w:t>
            </w:r>
          </w:p>
          <w:p w:rsidR="00000000" w:rsidRPr="006C6CD3" w:rsidP="006C6CD3">
            <w:pPr>
              <w:pStyle w:val="ListBullet"/>
            </w:pPr>
            <w:r w:rsidRPr="006C6CD3">
              <w:t>developing a plan to implement a specific change within an organisation</w:t>
            </w:r>
          </w:p>
          <w:p w:rsidR="00000000" w:rsidRPr="006C6CD3" w:rsidP="006C6CD3">
            <w:pPr>
              <w:pStyle w:val="ListBullet"/>
            </w:pPr>
            <w:r w:rsidRPr="006C6CD3">
              <w:t>identifying barriers to change within an organisation</w:t>
            </w:r>
          </w:p>
          <w:p w:rsidR="00000000" w:rsidRPr="006C6CD3" w:rsidP="006C6CD3">
            <w:pPr>
              <w:pStyle w:val="ListBullet"/>
            </w:pPr>
            <w:r w:rsidRPr="006C6CD3">
              <w:t xml:space="preserve">implementing a specific change within an organisation </w:t>
            </w:r>
          </w:p>
          <w:p w:rsidR="00000000" w:rsidRPr="006C6CD3" w:rsidP="006C6CD3">
            <w:pPr>
              <w:pStyle w:val="ListBullet"/>
            </w:pPr>
            <w:r w:rsidRPr="006C6CD3">
              <w:t>interpreting and explaining complex, formal documents and assisting others to apply these in the workplace</w:t>
            </w:r>
          </w:p>
          <w:p w:rsidR="00000000" w:rsidRPr="006C6CD3" w:rsidP="006C6CD3">
            <w:pPr>
              <w:pStyle w:val="ListBullet"/>
            </w:pPr>
            <w:r w:rsidRPr="006C6CD3">
              <w:t>monitoring change management strategies</w:t>
            </w:r>
          </w:p>
          <w:p w:rsidR="00000000" w:rsidRPr="006C6CD3" w:rsidP="006C6CD3">
            <w:pPr>
              <w:pStyle w:val="ListBullet"/>
            </w:pPr>
            <w:r w:rsidRPr="006C6CD3">
              <w:t>preparing written advice and reports.</w:t>
            </w:r>
          </w:p>
        </w:tc>
      </w:tr>
    </w:tbl>
    <w:p w:rsidR="00000000" w:rsidRPr="006C6CD3" w:rsidP="006C6CD3">
      <w:pPr>
        <w:pStyle w:val="NoPaddingFontSize1"/>
      </w:pPr>
    </w:p>
    <w:p w:rsidR="00000000" w:rsidRPr="006C6CD3" w:rsidP="006C6CD3">
      <w:pPr>
        <w:pStyle w:val="AllowPageBreak"/>
      </w:pPr>
    </w:p>
    <w:p w:rsidR="00000000" w:rsidRPr="006C6CD3" w:rsidP="006C6CD3">
      <w:pPr>
        <w:pStyle w:val="Heading1"/>
      </w:pPr>
      <w:bookmarkStart w:id="13" w:name="O_1240626"/>
      <w:bookmarkEnd w:id="13"/>
      <w:r w:rsidRPr="006C6CD3">
        <w:t>Knowledge Evidence</w:t>
      </w:r>
    </w:p>
    <w:tbl>
      <w:tblPr>
        <w:tblW w:w="9497" w:type="dxa"/>
        <w:tblLayout w:type="fixed"/>
        <w:tblCellMar>
          <w:left w:w="62" w:type="dxa"/>
          <w:right w:w="62" w:type="dxa"/>
        </w:tblCellMar>
        <w:tblLook w:val="0000"/>
      </w:tblPr>
      <w:tblGrid>
        <w:gridCol w:w="9497"/>
      </w:tblGrid>
      <w:tr w:rsidTr="006C6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6CD3">
            <w:pPr>
              <w:pStyle w:val="BodyText"/>
              <w:rPr>
                <w:lang w:val="en-NZ"/>
              </w:rPr>
            </w:pPr>
            <w:r w:rsidRPr="006C6CD3">
              <w:t>Evidence required to demonstrat</w:t>
            </w:r>
            <w:r w:rsidRPr="006C6CD3">
              <w:t>e competence in this unit must be relevant to and satisfy all of the requirements of the elements and performance criteria and include knowledge of:</w:t>
            </w:r>
          </w:p>
        </w:tc>
      </w:tr>
      <w:tr w:rsidTr="006C6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6CD3" w:rsidP="006C6CD3">
            <w:pPr>
              <w:pStyle w:val="ListBullet"/>
            </w:pPr>
            <w:r w:rsidRPr="006C6CD3">
              <w:t>change management strategies</w:t>
            </w:r>
          </w:p>
          <w:p w:rsidR="00000000" w:rsidRPr="006C6CD3" w:rsidP="006C6CD3">
            <w:pPr>
              <w:pStyle w:val="ListBullet"/>
            </w:pPr>
            <w:r w:rsidRPr="006C6CD3">
              <w:t>key factors in the internal and external operating environment</w:t>
            </w:r>
          </w:p>
          <w:p w:rsidR="00000000" w:rsidRPr="006C6CD3" w:rsidP="006C6CD3">
            <w:pPr>
              <w:pStyle w:val="ListBullet"/>
            </w:pPr>
            <w:r w:rsidRPr="006C6CD3">
              <w:t>negotiation processes</w:t>
            </w:r>
          </w:p>
          <w:p w:rsidR="00000000" w:rsidRPr="006C6CD3" w:rsidP="006C6CD3">
            <w:pPr>
              <w:pStyle w:val="ListBullet"/>
            </w:pPr>
            <w:r w:rsidRPr="006C6CD3">
              <w:t>organisational goals, policies and procedures</w:t>
            </w:r>
          </w:p>
          <w:p w:rsidR="00000000" w:rsidRPr="006C6CD3" w:rsidP="006C6CD3">
            <w:pPr>
              <w:pStyle w:val="ListBullet"/>
            </w:pPr>
            <w:r w:rsidRPr="006C6CD3">
              <w:t>organisational systems for risk management and risk mitigation</w:t>
            </w:r>
          </w:p>
          <w:p w:rsidR="00000000" w:rsidRPr="006C6CD3" w:rsidP="006C6CD3">
            <w:pPr>
              <w:pStyle w:val="ListBullet"/>
            </w:pPr>
            <w:r w:rsidRPr="006C6CD3">
              <w:t>relevant Rail Safety National Law (RSNL), regulations and requirements related to managing change</w:t>
            </w:r>
          </w:p>
          <w:p w:rsidR="00000000" w:rsidRPr="006C6CD3" w:rsidP="006C6CD3">
            <w:pPr>
              <w:pStyle w:val="ListBullet"/>
            </w:pPr>
            <w:r w:rsidRPr="006C6CD3">
              <w:t>safety management systems.</w:t>
            </w:r>
          </w:p>
        </w:tc>
      </w:tr>
    </w:tbl>
    <w:p w:rsidR="00000000" w:rsidRPr="006C6CD3" w:rsidP="006C6CD3">
      <w:pPr>
        <w:pStyle w:val="NoPaddingFontSize1"/>
      </w:pPr>
    </w:p>
    <w:p w:rsidR="00000000" w:rsidRPr="006C6CD3" w:rsidP="006C6CD3">
      <w:pPr>
        <w:pStyle w:val="AllowPageBreak"/>
      </w:pPr>
    </w:p>
    <w:p w:rsidR="00000000" w:rsidRPr="006C6CD3" w:rsidP="006C6CD3">
      <w:pPr>
        <w:pStyle w:val="Heading1"/>
      </w:pPr>
      <w:bookmarkStart w:id="14" w:name="O_1240625"/>
      <w:bookmarkEnd w:id="14"/>
      <w:r w:rsidRPr="006C6CD3">
        <w:t>Assessment Conditions</w:t>
      </w:r>
    </w:p>
    <w:tbl>
      <w:tblPr>
        <w:tblW w:w="9497" w:type="dxa"/>
        <w:tblLayout w:type="fixed"/>
        <w:tblCellMar>
          <w:left w:w="62" w:type="dxa"/>
          <w:right w:w="62" w:type="dxa"/>
        </w:tblCellMar>
        <w:tblLook w:val="0000"/>
      </w:tblPr>
      <w:tblGrid>
        <w:gridCol w:w="9497"/>
      </w:tblGrid>
      <w:tr w:rsidTr="006C6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6CD3" w:rsidP="006C6CD3">
            <w:pPr>
              <w:pStyle w:val="BodyText"/>
            </w:pPr>
            <w:r w:rsidRPr="006C6CD3">
              <w:t xml:space="preserve">Assessors must hold credentials specified within the Standards for Registered Training Organisations </w:t>
            </w:r>
            <w:r w:rsidRPr="006C6CD3">
              <w:t xml:space="preserve">current at the time of assessment. </w:t>
            </w:r>
          </w:p>
          <w:p w:rsidR="00000000" w:rsidRPr="006C6CD3" w:rsidP="006C6CD3">
            <w:pPr>
              <w:pStyle w:val="BodyText"/>
            </w:pPr>
            <w:r w:rsidRPr="006C6CD3">
              <w:t>Assessment must satisfy the Principles of Assessment and Rules of Evidence a</w:t>
            </w:r>
            <w:r w:rsidRPr="006C6CD3">
              <w:t>nd all regulatory requirements included within the Standards for Registered Training Organisations current at the time of assessment.</w:t>
            </w:r>
          </w:p>
          <w:p w:rsidR="00000000" w:rsidRPr="006C6CD3" w:rsidP="006C6CD3">
            <w:pPr>
              <w:pStyle w:val="BodyText"/>
            </w:pPr>
            <w:r w:rsidRPr="006C6CD3">
              <w:t>Assessment must occur in workplace operational situations where it is appropriate to do so; where this is not appropriate, assessment must occur in simulated workplace operational situations that replicate rail workplace conditions.</w:t>
            </w:r>
          </w:p>
          <w:p w:rsidR="00000000" w:rsidRPr="006C6CD3" w:rsidP="006C6CD3">
            <w:pPr>
              <w:pStyle w:val="BodyText"/>
            </w:pPr>
            <w:r w:rsidRPr="006C6CD3">
              <w:t>Assessment processes an</w:t>
            </w:r>
            <w:r w:rsidRPr="006C6CD3">
              <w:t>d techniques must be appropriate to the language, literacy and numeracy requirements of the work being performed and the needs of the candidate.</w:t>
            </w:r>
          </w:p>
          <w:p w:rsidR="00000000" w:rsidRPr="006C6CD3" w:rsidP="006C6CD3">
            <w:pPr>
              <w:pStyle w:val="BodyText"/>
            </w:pPr>
            <w:r w:rsidRPr="006C6CD3">
              <w:t>Resources for assessment must include access to:</w:t>
            </w:r>
          </w:p>
          <w:p w:rsidR="00000000" w:rsidRPr="006C6CD3" w:rsidP="006C6CD3">
            <w:pPr>
              <w:pStyle w:val="ListBullet"/>
            </w:pPr>
            <w:r w:rsidRPr="006C6CD3">
              <w:t>a range of relevant exercises, case studies and/or simulation</w:t>
            </w:r>
            <w:r w:rsidRPr="006C6CD3">
              <w:t>s</w:t>
            </w:r>
          </w:p>
          <w:p w:rsidR="00000000" w:rsidRPr="006C6CD3" w:rsidP="006C6CD3">
            <w:pPr>
              <w:pStyle w:val="ListBullet"/>
            </w:pPr>
            <w:r w:rsidRPr="006C6CD3">
              <w:t>applicable documentation including workplace procedures, regulations, codes of practice and operation manuals.</w:t>
            </w:r>
          </w:p>
        </w:tc>
      </w:tr>
    </w:tbl>
    <w:p w:rsidR="00000000" w:rsidRPr="006C6CD3" w:rsidP="006C6CD3">
      <w:pPr>
        <w:pStyle w:val="NoPaddingFontSize1"/>
      </w:pPr>
    </w:p>
    <w:p w:rsidR="00000000" w:rsidRPr="006C6CD3" w:rsidP="006C6CD3">
      <w:pPr>
        <w:pStyle w:val="AllowPageBreak"/>
      </w:pPr>
    </w:p>
    <w:p w:rsidR="00000000" w:rsidRPr="006C6CD3" w:rsidP="006C6CD3">
      <w:pPr>
        <w:pStyle w:val="Heading1"/>
      </w:pPr>
      <w:bookmarkStart w:id="15" w:name="O_1240640"/>
      <w:bookmarkEnd w:id="15"/>
      <w:r w:rsidRPr="006C6CD3">
        <w:t>Links</w:t>
      </w:r>
    </w:p>
    <w:p w:rsidR="00000000" w:rsidRPr="006C6CD3" w:rsidP="00C853EF">
      <w:pPr>
        <w:pStyle w:val="BodyText"/>
      </w:pPr>
      <w:r w:rsidRPr="006C6CD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A312E">
        <w:rPr>
          <w:rStyle w:val="Hyperlink"/>
        </w:rPr>
        <w:t>https://vetnet.gov.au/Pages/TrainingDocs.aspx?q=df441c6e-213d-43e3-874c-0b3f7036d851</w:t>
      </w:r>
      <w:r>
        <w:fldChar w:fldCharType="end"/>
      </w:r>
    </w:p>
    <w:p w:rsidR="00000000" w:rsidRPr="006C6CD3" w:rsidP="006C6CD3"/>
    <w:sectPr w:rsidSect="006C6C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D3" w:rsidRPr="00C853EF" w:rsidP="00C853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3EF" w:rsidP="006C6C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853EF" w:rsidP="006C6C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853EF" w:rsidP="006C6C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D3" w:rsidP="006C6CD3">
    <w:pPr>
      <w:pStyle w:val="Footer"/>
      <w:framePr w:wrap="around"/>
    </w:pPr>
    <w:r>
      <w:fldChar w:fldCharType="begin"/>
    </w:r>
    <w:r>
      <w:instrText xml:space="preserve"> DOCPROPERTY  Subject  \* MERGEFORMAT </w:instrText>
    </w:r>
    <w:r>
      <w:fldChar w:fldCharType="separate"/>
    </w:r>
    <w:r w:rsidR="00C853EF">
      <w:t>Approved</w:t>
    </w:r>
    <w:r w:rsidR="00C853EF">
      <w:fldChar w:fldCharType="end"/>
    </w:r>
    <w:r>
      <w:tab/>
      <w:t xml:space="preserve">Page </w:t>
    </w:r>
    <w:r>
      <w:fldChar w:fldCharType="begin"/>
    </w:r>
    <w:r>
      <w:instrText xml:space="preserve"> PAGE  \* Arabic  \* MERGEFORMAT </w:instrText>
    </w:r>
    <w:r>
      <w:fldChar w:fldCharType="separate"/>
    </w:r>
    <w:r w:rsidR="00C853E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53EF">
      <w:rPr>
        <w:noProof/>
      </w:rPr>
      <w:t>5</w:t>
    </w:r>
    <w:r>
      <w:rPr>
        <w:noProof/>
      </w:rPr>
      <w:fldChar w:fldCharType="end"/>
    </w:r>
  </w:p>
  <w:p w:rsidR="006C6CD3" w:rsidP="006C6CD3">
    <w:pPr>
      <w:pStyle w:val="Footer"/>
      <w:framePr w:wrap="around"/>
    </w:pPr>
    <w:r>
      <w:t xml:space="preserve">© Commonwealth of Australia, </w:t>
    </w:r>
    <w:r>
      <w:fldChar w:fldCharType="begin"/>
    </w:r>
    <w:r>
      <w:instrText xml:space="preserve"> DATE  \@ "yyyy"  \* MERGEFORMAT </w:instrText>
    </w:r>
    <w:r>
      <w:fldChar w:fldCharType="separate"/>
    </w:r>
    <w:r w:rsidR="00C853EF">
      <w:rPr>
        <w:noProof/>
      </w:rPr>
      <w:t>2025</w:t>
    </w:r>
    <w:r>
      <w:fldChar w:fldCharType="end"/>
    </w:r>
    <w:r>
      <w:tab/>
    </w:r>
    <w:r>
      <w:fldChar w:fldCharType="begin"/>
    </w:r>
    <w:r>
      <w:instrText xml:space="preserve"> DOCPROPERTY  Author  \* MERGEFORMAT </w:instrText>
    </w:r>
    <w:r>
      <w:fldChar w:fldCharType="separate"/>
    </w:r>
    <w:r w:rsidR="00C853EF">
      <w:t>Industry Skills Australia</w:t>
    </w:r>
    <w:r w:rsidR="00C853EF">
      <w:fldChar w:fldCharType="end"/>
    </w:r>
  </w:p>
  <w:p w:rsidR="006C6CD3" w:rsidP="006C6C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3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6CD3" w:rsidRPr="00C853EF" w:rsidP="00C853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3EF" w:rsidRPr="002D2AF8" w:rsidP="006C6CD3">
    <w:pPr>
      <w:pStyle w:val="Header"/>
      <w:framePr w:wrap="around"/>
    </w:pPr>
    <w:r>
      <w:fldChar w:fldCharType="begin"/>
    </w:r>
    <w:r>
      <w:instrText xml:space="preserve"> TITLE   \* MERGEFORMAT </w:instrText>
    </w:r>
    <w:r>
      <w:fldChar w:fldCharType="separate"/>
    </w:r>
    <w:r>
      <w:t>TLIF4104 Manage change in the rail safety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53EF" w:rsidP="006C6C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D3" w:rsidRPr="002D2AF8" w:rsidP="006C6CD3">
    <w:pPr>
      <w:pStyle w:val="Header"/>
      <w:framePr w:wrap="around"/>
    </w:pPr>
    <w:r>
      <w:fldChar w:fldCharType="begin"/>
    </w:r>
    <w:r>
      <w:instrText xml:space="preserve"> TITLE   \* MERGEFORMAT </w:instrText>
    </w:r>
    <w:r>
      <w:fldChar w:fldCharType="separate"/>
    </w:r>
    <w:r w:rsidR="00C853EF">
      <w:t>TLIF4104 Manage change in the rail safety environment</w:t>
    </w:r>
    <w:r w:rsidR="00C853EF">
      <w:fldChar w:fldCharType="end"/>
    </w:r>
    <w:r>
      <w:tab/>
      <w:t xml:space="preserve">Date this document was generated: </w:t>
    </w:r>
    <w:r>
      <w:fldChar w:fldCharType="begin"/>
    </w:r>
    <w:r>
      <w:instrText xml:space="preserve"> CREATEDATE  \@ "d MMMM yyyy"  \* MERGEFORMAT </w:instrText>
    </w:r>
    <w:r>
      <w:fldChar w:fldCharType="separate"/>
    </w:r>
    <w:r w:rsidR="00C853EF">
      <w:rPr>
        <w:noProof/>
      </w:rPr>
      <w:t>2 March 2025</w:t>
    </w:r>
    <w:r>
      <w:fldChar w:fldCharType="end"/>
    </w:r>
  </w:p>
  <w:p w:rsidR="006C6CD3" w:rsidP="006C6C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04C1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C616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C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6CD3"/>
    <w:pPr>
      <w:spacing w:before="360" w:after="60"/>
      <w:outlineLvl w:val="0"/>
    </w:pPr>
    <w:rPr>
      <w:sz w:val="32"/>
    </w:rPr>
  </w:style>
  <w:style w:type="paragraph" w:styleId="Heading2">
    <w:name w:val="heading 2"/>
    <w:basedOn w:val="HeadingBase"/>
    <w:next w:val="BodyText"/>
    <w:link w:val="Heading2Char"/>
    <w:qFormat/>
    <w:rsid w:val="006C6CD3"/>
    <w:pPr>
      <w:keepLines/>
      <w:spacing w:before="240" w:after="120"/>
      <w:outlineLvl w:val="1"/>
    </w:pPr>
    <w:rPr>
      <w:sz w:val="28"/>
      <w:szCs w:val="40"/>
    </w:rPr>
  </w:style>
  <w:style w:type="paragraph" w:styleId="Heading3">
    <w:name w:val="heading 3"/>
    <w:basedOn w:val="HeadingBase"/>
    <w:next w:val="BodyText"/>
    <w:link w:val="Heading3Char"/>
    <w:qFormat/>
    <w:rsid w:val="006C6CD3"/>
    <w:pPr>
      <w:spacing w:before="180" w:after="120"/>
      <w:outlineLvl w:val="2"/>
    </w:pPr>
    <w:rPr>
      <w:spacing w:val="-10"/>
      <w:kern w:val="32"/>
    </w:rPr>
  </w:style>
  <w:style w:type="paragraph" w:styleId="Heading4">
    <w:name w:val="heading 4"/>
    <w:basedOn w:val="HeadingBase"/>
    <w:next w:val="BodyText"/>
    <w:link w:val="Heading4Char"/>
    <w:qFormat/>
    <w:rsid w:val="006C6CD3"/>
    <w:pPr>
      <w:spacing w:before="160" w:after="120"/>
      <w:outlineLvl w:val="3"/>
    </w:pPr>
    <w:rPr>
      <w:sz w:val="22"/>
    </w:rPr>
  </w:style>
  <w:style w:type="paragraph" w:styleId="Heading5">
    <w:name w:val="heading 5"/>
    <w:basedOn w:val="HeadingBase"/>
    <w:next w:val="Normal"/>
    <w:link w:val="Heading5Char"/>
    <w:qFormat/>
    <w:rsid w:val="006C6CD3"/>
    <w:pPr>
      <w:spacing w:before="80"/>
      <w:outlineLvl w:val="4"/>
    </w:pPr>
    <w:rPr>
      <w:color w:val="918585"/>
      <w:sz w:val="20"/>
    </w:rPr>
  </w:style>
  <w:style w:type="paragraph" w:styleId="Heading6">
    <w:name w:val="heading 6"/>
    <w:basedOn w:val="HeadingBase"/>
    <w:next w:val="Normal"/>
    <w:link w:val="Heading6Char"/>
    <w:qFormat/>
    <w:rsid w:val="006C6CD3"/>
    <w:pPr>
      <w:spacing w:before="60"/>
      <w:outlineLvl w:val="5"/>
    </w:pPr>
    <w:rPr>
      <w:color w:val="918585"/>
      <w:sz w:val="20"/>
    </w:rPr>
  </w:style>
  <w:style w:type="paragraph" w:styleId="Heading7">
    <w:name w:val="heading 7"/>
    <w:basedOn w:val="Normal"/>
    <w:next w:val="Normal"/>
    <w:link w:val="Heading7Char"/>
    <w:qFormat/>
    <w:rsid w:val="006C6CD3"/>
    <w:pPr>
      <w:ind w:left="720"/>
      <w:outlineLvl w:val="6"/>
    </w:pPr>
    <w:rPr>
      <w:i/>
    </w:rPr>
  </w:style>
  <w:style w:type="paragraph" w:styleId="Heading8">
    <w:name w:val="heading 8"/>
    <w:basedOn w:val="Normal"/>
    <w:next w:val="Normal"/>
    <w:link w:val="Heading8Char"/>
    <w:qFormat/>
    <w:rsid w:val="006C6CD3"/>
    <w:pPr>
      <w:ind w:left="720"/>
      <w:outlineLvl w:val="7"/>
    </w:pPr>
    <w:rPr>
      <w:i/>
    </w:rPr>
  </w:style>
  <w:style w:type="paragraph" w:styleId="Heading9">
    <w:name w:val="heading 9"/>
    <w:basedOn w:val="Normal"/>
    <w:next w:val="Normal"/>
    <w:link w:val="Heading9Char"/>
    <w:qFormat/>
    <w:rsid w:val="006C6CD3"/>
    <w:pPr>
      <w:ind w:left="720"/>
      <w:outlineLvl w:val="8"/>
    </w:pPr>
    <w:rPr>
      <w:i/>
    </w:rPr>
  </w:style>
  <w:style w:type="character" w:default="1" w:styleId="DefaultParagraphFont">
    <w:name w:val="Default Paragraph Font"/>
    <w:uiPriority w:val="1"/>
    <w:unhideWhenUsed/>
    <w:rsid w:val="006C6C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CD3"/>
  </w:style>
  <w:style w:type="character" w:customStyle="1" w:styleId="Heading1Char">
    <w:name w:val="Heading 1 Char"/>
    <w:basedOn w:val="DefaultParagraphFont"/>
    <w:link w:val="Heading1"/>
    <w:rsid w:val="006C6CD3"/>
    <w:rPr>
      <w:rFonts w:ascii="Times New Roman" w:eastAsia="Times New Roman" w:hAnsi="Times New Roman" w:cs="Times New Roman"/>
      <w:b/>
      <w:sz w:val="32"/>
      <w:szCs w:val="20"/>
      <w:lang w:eastAsia="en-US"/>
    </w:rPr>
  </w:style>
  <w:style w:type="paragraph" w:styleId="BodyText">
    <w:name w:val="Body Text"/>
    <w:basedOn w:val="Normal"/>
    <w:link w:val="BodyTextChar"/>
    <w:rsid w:val="006C6C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6CD3"/>
    <w:rPr>
      <w:rFonts w:ascii="Times New Roman" w:eastAsia="Times New Roman" w:hAnsi="Times New Roman" w:cs="Times New Roman"/>
      <w:sz w:val="24"/>
      <w:lang w:eastAsia="en-US"/>
    </w:rPr>
  </w:style>
  <w:style w:type="paragraph" w:styleId="ListBullet">
    <w:name w:val="List Bullet"/>
    <w:basedOn w:val="List"/>
    <w:rsid w:val="006C6CD3"/>
    <w:pPr>
      <w:numPr>
        <w:numId w:val="11"/>
      </w:numPr>
      <w:tabs>
        <w:tab w:val="clear" w:pos="340"/>
      </w:tabs>
      <w:spacing w:before="40" w:after="40"/>
    </w:pPr>
  </w:style>
  <w:style w:type="character" w:customStyle="1" w:styleId="SpecialBold">
    <w:name w:val="Special Bold"/>
    <w:basedOn w:val="DefaultParagraphFont"/>
    <w:rsid w:val="006C6CD3"/>
    <w:rPr>
      <w:b/>
      <w:spacing w:val="0"/>
    </w:rPr>
  </w:style>
  <w:style w:type="paragraph" w:customStyle="1" w:styleId="SuperHeading">
    <w:name w:val="SuperHeading"/>
    <w:basedOn w:val="Normal"/>
    <w:rsid w:val="006C6CD3"/>
    <w:pPr>
      <w:spacing w:before="240" w:after="120"/>
      <w:outlineLvl w:val="0"/>
    </w:pPr>
    <w:rPr>
      <w:rFonts w:ascii="Times New Roman" w:hAnsi="Times New Roman"/>
      <w:b/>
      <w:sz w:val="32"/>
    </w:rPr>
  </w:style>
  <w:style w:type="paragraph" w:customStyle="1" w:styleId="AllowPageBreak">
    <w:name w:val="AllowPageBreak"/>
    <w:rsid w:val="006C6C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6C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C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C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C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C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C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6C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6CD3"/>
    <w:rPr>
      <w:rFonts w:ascii="Courier New" w:eastAsia="Times New Roman" w:hAnsi="Courier New" w:cs="Times New Roman"/>
      <w:i/>
      <w:szCs w:val="20"/>
      <w:lang w:eastAsia="en-US"/>
    </w:rPr>
  </w:style>
  <w:style w:type="paragraph" w:customStyle="1" w:styleId="HeadingBase">
    <w:name w:val="Heading Base"/>
    <w:rsid w:val="006C6C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CD3"/>
    <w:pPr>
      <w:tabs>
        <w:tab w:val="right" w:leader="dot" w:pos="9072"/>
      </w:tabs>
      <w:ind w:left="567"/>
    </w:pPr>
    <w:rPr>
      <w:szCs w:val="22"/>
    </w:rPr>
  </w:style>
  <w:style w:type="paragraph" w:customStyle="1" w:styleId="TOCBase">
    <w:name w:val="TOC Base"/>
    <w:rsid w:val="006C6C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CD3"/>
    <w:pPr>
      <w:tabs>
        <w:tab w:val="right" w:leader="dot" w:pos="9072"/>
      </w:tabs>
      <w:spacing w:before="40" w:after="40"/>
      <w:ind w:left="284"/>
    </w:pPr>
    <w:rPr>
      <w:rFonts w:ascii="Times New Roman" w:hAnsi="Times New Roman"/>
    </w:rPr>
  </w:style>
  <w:style w:type="paragraph" w:styleId="TOC1">
    <w:name w:val="toc 1"/>
    <w:basedOn w:val="TOCBase"/>
    <w:next w:val="Normal"/>
    <w:rsid w:val="006C6C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6C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CD3"/>
    <w:rPr>
      <w:rFonts w:ascii="Times New Roman" w:eastAsia="Times New Roman" w:hAnsi="Times New Roman" w:cs="Times New Roman"/>
      <w:sz w:val="16"/>
      <w:lang w:eastAsia="en-US"/>
    </w:rPr>
  </w:style>
  <w:style w:type="paragraph" w:styleId="Title">
    <w:name w:val="Title"/>
    <w:basedOn w:val="HeadingBase"/>
    <w:link w:val="TitleChar"/>
    <w:qFormat/>
    <w:rsid w:val="006C6CD3"/>
    <w:pPr>
      <w:spacing w:before="5040"/>
      <w:jc w:val="center"/>
    </w:pPr>
    <w:rPr>
      <w:sz w:val="48"/>
      <w:szCs w:val="72"/>
      <w:lang w:val="en-US"/>
    </w:rPr>
  </w:style>
  <w:style w:type="character" w:customStyle="1" w:styleId="TitleChar">
    <w:name w:val="Title Char"/>
    <w:basedOn w:val="DefaultParagraphFont"/>
    <w:link w:val="Title"/>
    <w:rsid w:val="006C6C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CD3"/>
    <w:pPr>
      <w:tabs>
        <w:tab w:val="left" w:pos="3600"/>
        <w:tab w:val="left" w:pos="3958"/>
      </w:tabs>
    </w:pPr>
  </w:style>
  <w:style w:type="paragraph" w:styleId="List">
    <w:name w:val="List"/>
    <w:basedOn w:val="BodyText"/>
    <w:next w:val="BodyText"/>
    <w:rsid w:val="006C6CD3"/>
    <w:pPr>
      <w:tabs>
        <w:tab w:val="left" w:pos="340"/>
      </w:tabs>
      <w:spacing w:before="60" w:after="60"/>
      <w:ind w:left="340" w:hanging="340"/>
    </w:pPr>
  </w:style>
  <w:style w:type="paragraph" w:customStyle="1" w:styleId="Note">
    <w:name w:val="Note"/>
    <w:basedOn w:val="BodyText"/>
    <w:rsid w:val="006C6C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CD3"/>
    <w:pPr>
      <w:framePr w:wrap="auto" w:hAnchor="text" w:y="6049"/>
    </w:pPr>
    <w:rPr>
      <w:color w:val="000000"/>
      <w:sz w:val="40"/>
    </w:rPr>
  </w:style>
  <w:style w:type="paragraph" w:customStyle="1" w:styleId="TOCTitle">
    <w:name w:val="TOCTitle"/>
    <w:basedOn w:val="Heading1"/>
    <w:rsid w:val="006C6CD3"/>
    <w:pPr>
      <w:spacing w:after="240"/>
      <w:jc w:val="center"/>
      <w:outlineLvl w:val="9"/>
    </w:pPr>
    <w:rPr>
      <w:caps/>
    </w:rPr>
  </w:style>
  <w:style w:type="paragraph" w:customStyle="1" w:styleId="Version">
    <w:name w:val="Version"/>
    <w:rsid w:val="006C6C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6CD3"/>
    <w:pPr>
      <w:numPr>
        <w:numId w:val="12"/>
      </w:numPr>
      <w:tabs>
        <w:tab w:val="clear" w:pos="680"/>
      </w:tabs>
    </w:pPr>
  </w:style>
  <w:style w:type="paragraph" w:styleId="Index1">
    <w:name w:val="index 1"/>
    <w:basedOn w:val="Normal"/>
    <w:next w:val="Normal"/>
    <w:semiHidden/>
    <w:rsid w:val="006C6CD3"/>
    <w:pPr>
      <w:keepNext w:val="0"/>
      <w:tabs>
        <w:tab w:val="right" w:pos="4176"/>
      </w:tabs>
      <w:ind w:left="198" w:hanging="198"/>
    </w:pPr>
    <w:rPr>
      <w:rFonts w:ascii="Garamond" w:hAnsi="Garamond"/>
    </w:rPr>
  </w:style>
  <w:style w:type="paragraph" w:styleId="IndexHeading">
    <w:name w:val="index heading"/>
    <w:basedOn w:val="Normal"/>
    <w:next w:val="Index1"/>
    <w:semiHidden/>
    <w:rsid w:val="006C6CD3"/>
    <w:pPr>
      <w:spacing w:before="120" w:after="120"/>
    </w:pPr>
    <w:rPr>
      <w:rFonts w:ascii="Arial" w:hAnsi="Arial"/>
      <w:b/>
      <w:color w:val="918585"/>
      <w:sz w:val="24"/>
    </w:rPr>
  </w:style>
  <w:style w:type="paragraph" w:styleId="Header">
    <w:name w:val="header"/>
    <w:basedOn w:val="Normal"/>
    <w:link w:val="HeaderChar"/>
    <w:rsid w:val="006C6C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CD3"/>
    <w:rPr>
      <w:rFonts w:ascii="Times New Roman" w:eastAsia="Times New Roman" w:hAnsi="Times New Roman" w:cs="Times New Roman"/>
      <w:sz w:val="16"/>
      <w:szCs w:val="20"/>
      <w:lang w:val="en-GB" w:eastAsia="en-US"/>
    </w:rPr>
  </w:style>
  <w:style w:type="paragraph" w:customStyle="1" w:styleId="Chapter">
    <w:name w:val="Chapter"/>
    <w:basedOn w:val="Normal"/>
    <w:rsid w:val="006C6CD3"/>
    <w:pPr>
      <w:spacing w:before="240"/>
    </w:pPr>
    <w:rPr>
      <w:rFonts w:ascii="Times New Roman" w:hAnsi="Times New Roman"/>
      <w:smallCaps/>
      <w:spacing w:val="80"/>
      <w:sz w:val="28"/>
    </w:rPr>
  </w:style>
  <w:style w:type="paragraph" w:customStyle="1" w:styleId="InChapter">
    <w:name w:val="InChapter"/>
    <w:basedOn w:val="Heading3"/>
    <w:rsid w:val="006C6CD3"/>
    <w:pPr>
      <w:spacing w:after="240"/>
      <w:outlineLvl w:val="9"/>
    </w:pPr>
    <w:rPr>
      <w:noProof/>
    </w:rPr>
  </w:style>
  <w:style w:type="paragraph" w:styleId="Index2">
    <w:name w:val="index 2"/>
    <w:basedOn w:val="Normal"/>
    <w:next w:val="Normal"/>
    <w:semiHidden/>
    <w:rsid w:val="006C6CD3"/>
    <w:pPr>
      <w:tabs>
        <w:tab w:val="right" w:pos="4176"/>
      </w:tabs>
      <w:ind w:left="568" w:hanging="284"/>
    </w:pPr>
    <w:rPr>
      <w:rFonts w:ascii="Garamond" w:hAnsi="Garamond"/>
    </w:rPr>
  </w:style>
  <w:style w:type="paragraph" w:customStyle="1" w:styleId="Byline">
    <w:name w:val="Byline"/>
    <w:rsid w:val="006C6C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CD3"/>
    <w:pPr>
      <w:tabs>
        <w:tab w:val="clear" w:pos="3600"/>
        <w:tab w:val="clear" w:pos="3958"/>
      </w:tabs>
      <w:jc w:val="right"/>
    </w:pPr>
  </w:style>
  <w:style w:type="character" w:styleId="Emphasis">
    <w:name w:val="Emphasis"/>
    <w:basedOn w:val="DefaultParagraphFont"/>
    <w:qFormat/>
    <w:rsid w:val="006C6CD3"/>
    <w:rPr>
      <w:i/>
    </w:rPr>
  </w:style>
  <w:style w:type="paragraph" w:styleId="Caption">
    <w:name w:val="caption"/>
    <w:basedOn w:val="BodyText"/>
    <w:next w:val="Normal"/>
    <w:qFormat/>
    <w:rsid w:val="006C6CD3"/>
    <w:pPr>
      <w:framePr w:w="2268" w:hSpace="181" w:vSpace="181" w:wrap="around" w:vAnchor="text" w:hAnchor="page" w:x="1135" w:y="285" w:anchorLock="1"/>
    </w:pPr>
    <w:rPr>
      <w:i/>
    </w:rPr>
  </w:style>
  <w:style w:type="paragraph" w:customStyle="1" w:styleId="MiniTOCTitle">
    <w:name w:val="MiniTOCTitle"/>
    <w:basedOn w:val="Heading4"/>
    <w:rsid w:val="006C6CD3"/>
    <w:pPr>
      <w:spacing w:before="240"/>
      <w:outlineLvl w:val="9"/>
    </w:pPr>
    <w:rPr>
      <w:noProof/>
      <w:sz w:val="24"/>
    </w:rPr>
  </w:style>
  <w:style w:type="paragraph" w:customStyle="1" w:styleId="MiniTOCItem">
    <w:name w:val="MiniTOCItem"/>
    <w:basedOn w:val="ListBullet"/>
    <w:rsid w:val="006C6CD3"/>
    <w:pPr>
      <w:numPr>
        <w:numId w:val="0"/>
      </w:numPr>
      <w:tabs>
        <w:tab w:val="right" w:leader="dot" w:pos="6521"/>
      </w:tabs>
      <w:spacing w:before="0" w:after="0"/>
    </w:pPr>
  </w:style>
  <w:style w:type="paragraph" w:customStyle="1" w:styleId="TOFTitle">
    <w:name w:val="TOFTitle"/>
    <w:basedOn w:val="TOCTitle"/>
    <w:rsid w:val="006C6CD3"/>
  </w:style>
  <w:style w:type="paragraph" w:styleId="TableofFigures">
    <w:name w:val="table of figures"/>
    <w:basedOn w:val="Normal"/>
    <w:next w:val="Normal"/>
    <w:semiHidden/>
    <w:rsid w:val="006C6CD3"/>
    <w:pPr>
      <w:tabs>
        <w:tab w:val="right" w:leader="dot" w:pos="9072"/>
      </w:tabs>
      <w:ind w:left="970" w:hanging="403"/>
    </w:pPr>
    <w:rPr>
      <w:rFonts w:ascii="Times New Roman" w:hAnsi="Times New Roman"/>
      <w:b/>
    </w:rPr>
  </w:style>
  <w:style w:type="paragraph" w:styleId="ListNumber">
    <w:name w:val="List Number"/>
    <w:basedOn w:val="List"/>
    <w:rsid w:val="006C6CD3"/>
    <w:pPr>
      <w:numPr>
        <w:numId w:val="14"/>
      </w:numPr>
      <w:tabs>
        <w:tab w:val="clear" w:pos="340"/>
      </w:tabs>
    </w:pPr>
  </w:style>
  <w:style w:type="character" w:customStyle="1" w:styleId="WingdingSymbols">
    <w:name w:val="Wingding Symbols"/>
    <w:rsid w:val="006C6CD3"/>
    <w:rPr>
      <w:rFonts w:ascii="Wingdings" w:hAnsi="Wingdings"/>
    </w:rPr>
  </w:style>
  <w:style w:type="paragraph" w:customStyle="1" w:styleId="TableHeading">
    <w:name w:val="Table Heading"/>
    <w:basedOn w:val="HeadingBase"/>
    <w:rsid w:val="006C6CD3"/>
    <w:pPr>
      <w:keepLines/>
      <w:pBdr>
        <w:bottom w:val="single" w:sz="6" w:space="1" w:color="918585"/>
      </w:pBdr>
      <w:spacing w:before="240"/>
    </w:pPr>
  </w:style>
  <w:style w:type="character" w:customStyle="1" w:styleId="HotSpot">
    <w:name w:val="HotSpot"/>
    <w:rsid w:val="006C6CD3"/>
    <w:rPr>
      <w:color w:val="0033CC"/>
      <w:u w:val="none"/>
    </w:rPr>
  </w:style>
  <w:style w:type="paragraph" w:customStyle="1" w:styleId="BodyTextRight">
    <w:name w:val="Body Text Right"/>
    <w:basedOn w:val="BodyText"/>
    <w:rsid w:val="006C6CD3"/>
    <w:pPr>
      <w:spacing w:before="0" w:after="0"/>
      <w:jc w:val="right"/>
    </w:pPr>
  </w:style>
  <w:style w:type="paragraph" w:styleId="Index3">
    <w:name w:val="index 3"/>
    <w:basedOn w:val="ListNumber2"/>
    <w:next w:val="Normal"/>
    <w:semiHidden/>
    <w:rsid w:val="006C6CD3"/>
    <w:pPr>
      <w:numPr>
        <w:numId w:val="0"/>
      </w:numPr>
      <w:tabs>
        <w:tab w:val="right" w:leader="dot" w:pos="4176"/>
      </w:tabs>
    </w:pPr>
  </w:style>
  <w:style w:type="paragraph" w:styleId="ListNumber2">
    <w:name w:val="List Number 2"/>
    <w:basedOn w:val="List2"/>
    <w:rsid w:val="006C6CD3"/>
    <w:pPr>
      <w:numPr>
        <w:numId w:val="9"/>
      </w:numPr>
      <w:tabs>
        <w:tab w:val="clear" w:pos="1060"/>
      </w:tabs>
    </w:pPr>
  </w:style>
  <w:style w:type="paragraph" w:customStyle="1" w:styleId="MarginNote">
    <w:name w:val="Margin Note"/>
    <w:basedOn w:val="BodyText"/>
    <w:rsid w:val="006C6C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C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C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6CD3"/>
    <w:rPr>
      <w:sz w:val="32"/>
    </w:rPr>
  </w:style>
  <w:style w:type="paragraph" w:customStyle="1" w:styleId="HeadingProcedure">
    <w:name w:val="Heading Procedure"/>
    <w:basedOn w:val="HeadingBase"/>
    <w:next w:val="Normal"/>
    <w:rsid w:val="006C6CD3"/>
    <w:pPr>
      <w:tabs>
        <w:tab w:val="left" w:pos="0"/>
      </w:tabs>
      <w:spacing w:before="120" w:after="60"/>
    </w:pPr>
    <w:rPr>
      <w:i/>
      <w:color w:val="918585"/>
      <w:sz w:val="22"/>
    </w:rPr>
  </w:style>
  <w:style w:type="paragraph" w:customStyle="1" w:styleId="TableBodyText">
    <w:name w:val="Table Body Text"/>
    <w:basedOn w:val="BodyText"/>
    <w:rsid w:val="006C6CD3"/>
    <w:pPr>
      <w:spacing w:before="60" w:after="60"/>
    </w:pPr>
  </w:style>
  <w:style w:type="paragraph" w:styleId="ListContinue">
    <w:name w:val="List Continue"/>
    <w:basedOn w:val="List"/>
    <w:rsid w:val="006C6CD3"/>
    <w:pPr>
      <w:ind w:firstLine="0"/>
    </w:pPr>
  </w:style>
  <w:style w:type="paragraph" w:customStyle="1" w:styleId="ListNote">
    <w:name w:val="List Note"/>
    <w:basedOn w:val="List"/>
    <w:rsid w:val="006C6CD3"/>
    <w:pPr>
      <w:pBdr>
        <w:top w:val="single" w:sz="6" w:space="2" w:color="918585"/>
        <w:bottom w:val="single" w:sz="6" w:space="2" w:color="918585"/>
      </w:pBdr>
      <w:tabs>
        <w:tab w:val="left" w:pos="1021"/>
      </w:tabs>
      <w:ind w:firstLine="0"/>
    </w:pPr>
  </w:style>
  <w:style w:type="paragraph" w:customStyle="1" w:styleId="Warning">
    <w:name w:val="Warning"/>
    <w:basedOn w:val="BodyText"/>
    <w:rsid w:val="006C6CD3"/>
    <w:pPr>
      <w:shd w:val="clear" w:color="auto" w:fill="D9D9D9"/>
      <w:tabs>
        <w:tab w:val="left" w:pos="992"/>
      </w:tabs>
      <w:ind w:left="119" w:right="119"/>
    </w:pPr>
    <w:rPr>
      <w:sz w:val="20"/>
    </w:rPr>
  </w:style>
  <w:style w:type="paragraph" w:customStyle="1" w:styleId="MarginIcons">
    <w:name w:val="Margin Icons"/>
    <w:basedOn w:val="BodyText"/>
    <w:rsid w:val="006C6C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CD3"/>
    <w:rPr>
      <w:rFonts w:ascii="Courier New" w:hAnsi="Courier New"/>
    </w:rPr>
  </w:style>
  <w:style w:type="paragraph" w:customStyle="1" w:styleId="NoteBullet">
    <w:name w:val="Note Bullet"/>
    <w:basedOn w:val="Note"/>
    <w:rsid w:val="006C6CD3"/>
    <w:pPr>
      <w:tabs>
        <w:tab w:val="clear" w:pos="680"/>
      </w:tabs>
      <w:spacing w:before="60" w:after="60"/>
    </w:pPr>
  </w:style>
  <w:style w:type="paragraph" w:customStyle="1" w:styleId="SubHeading2">
    <w:name w:val="SubHeading2"/>
    <w:basedOn w:val="HeadingBase"/>
    <w:rsid w:val="006C6CD3"/>
    <w:pPr>
      <w:spacing w:before="240" w:after="60"/>
    </w:pPr>
    <w:rPr>
      <w:sz w:val="20"/>
    </w:rPr>
  </w:style>
  <w:style w:type="paragraph" w:customStyle="1" w:styleId="SubHeading1">
    <w:name w:val="SubHeading1"/>
    <w:basedOn w:val="HeadingBase"/>
    <w:rsid w:val="006C6CD3"/>
    <w:pPr>
      <w:spacing w:before="240" w:after="60"/>
    </w:pPr>
    <w:rPr>
      <w:color w:val="918585"/>
      <w:sz w:val="22"/>
    </w:rPr>
  </w:style>
  <w:style w:type="paragraph" w:customStyle="1" w:styleId="SideHeading">
    <w:name w:val="Side Heading"/>
    <w:basedOn w:val="HeadingBase"/>
    <w:rsid w:val="006C6C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CD3"/>
    <w:pPr>
      <w:numPr>
        <w:numId w:val="10"/>
      </w:numPr>
    </w:pPr>
  </w:style>
  <w:style w:type="paragraph" w:styleId="PlainText">
    <w:name w:val="Plain Text"/>
    <w:basedOn w:val="Normal"/>
    <w:link w:val="PlainTextChar"/>
    <w:rsid w:val="006C6CD3"/>
    <w:rPr>
      <w:sz w:val="20"/>
    </w:rPr>
  </w:style>
  <w:style w:type="character" w:customStyle="1" w:styleId="PlainTextChar">
    <w:name w:val="Plain Text Char"/>
    <w:basedOn w:val="DefaultParagraphFont"/>
    <w:link w:val="PlainText"/>
    <w:rsid w:val="006C6CD3"/>
    <w:rPr>
      <w:rFonts w:ascii="Courier New" w:eastAsia="Times New Roman" w:hAnsi="Courier New" w:cs="Times New Roman"/>
      <w:sz w:val="20"/>
      <w:szCs w:val="20"/>
      <w:lang w:eastAsia="en-US"/>
    </w:rPr>
  </w:style>
  <w:style w:type="character" w:customStyle="1" w:styleId="MenuOption">
    <w:name w:val="Menu Option"/>
    <w:basedOn w:val="DefaultParagraphFont"/>
    <w:rsid w:val="006C6CD3"/>
    <w:rPr>
      <w:b/>
      <w:smallCaps/>
    </w:rPr>
  </w:style>
  <w:style w:type="paragraph" w:customStyle="1" w:styleId="TableListNumber">
    <w:name w:val="Table List Number"/>
    <w:basedOn w:val="ListNumber"/>
    <w:rsid w:val="006C6CD3"/>
    <w:pPr>
      <w:numPr>
        <w:numId w:val="0"/>
      </w:numPr>
    </w:pPr>
  </w:style>
  <w:style w:type="paragraph" w:styleId="TOC4">
    <w:name w:val="toc 4"/>
    <w:basedOn w:val="TOCBase"/>
    <w:next w:val="Normal"/>
    <w:semiHidden/>
    <w:rsid w:val="006C6CD3"/>
    <w:pPr>
      <w:tabs>
        <w:tab w:val="right" w:leader="dot" w:pos="9071"/>
      </w:tabs>
      <w:ind w:left="1701"/>
    </w:pPr>
  </w:style>
  <w:style w:type="paragraph" w:customStyle="1" w:styleId="ListAlpha">
    <w:name w:val="List Alpha"/>
    <w:basedOn w:val="List"/>
    <w:rsid w:val="006C6CD3"/>
    <w:pPr>
      <w:numPr>
        <w:numId w:val="8"/>
      </w:numPr>
    </w:pPr>
  </w:style>
  <w:style w:type="paragraph" w:customStyle="1" w:styleId="ListAlpha2">
    <w:name w:val="List Alpha 2"/>
    <w:basedOn w:val="List2"/>
    <w:rsid w:val="006C6CD3"/>
    <w:pPr>
      <w:numPr>
        <w:numId w:val="7"/>
      </w:numPr>
    </w:pPr>
  </w:style>
  <w:style w:type="paragraph" w:styleId="List2">
    <w:name w:val="List 2"/>
    <w:basedOn w:val="BodyText"/>
    <w:rsid w:val="006C6CD3"/>
    <w:pPr>
      <w:tabs>
        <w:tab w:val="left" w:pos="680"/>
      </w:tabs>
      <w:spacing w:before="60" w:after="60"/>
      <w:ind w:left="680" w:hanging="340"/>
    </w:pPr>
  </w:style>
  <w:style w:type="paragraph" w:styleId="List3">
    <w:name w:val="List 3"/>
    <w:basedOn w:val="BodyText"/>
    <w:rsid w:val="006C6CD3"/>
    <w:pPr>
      <w:tabs>
        <w:tab w:val="left" w:pos="1021"/>
      </w:tabs>
      <w:spacing w:before="60" w:after="60"/>
      <w:ind w:left="1020" w:hanging="340"/>
    </w:pPr>
  </w:style>
  <w:style w:type="paragraph" w:styleId="List4">
    <w:name w:val="List 4"/>
    <w:basedOn w:val="BodyText"/>
    <w:rsid w:val="006C6CD3"/>
    <w:pPr>
      <w:tabs>
        <w:tab w:val="left" w:pos="1361"/>
      </w:tabs>
      <w:spacing w:before="60" w:after="60"/>
      <w:ind w:left="1361" w:hanging="340"/>
    </w:pPr>
  </w:style>
  <w:style w:type="paragraph" w:styleId="List5">
    <w:name w:val="List 5"/>
    <w:basedOn w:val="BodyText"/>
    <w:rsid w:val="006C6CD3"/>
    <w:pPr>
      <w:tabs>
        <w:tab w:val="left" w:pos="1701"/>
      </w:tabs>
      <w:spacing w:before="60" w:after="60"/>
      <w:ind w:left="1701" w:hanging="340"/>
    </w:pPr>
  </w:style>
  <w:style w:type="paragraph" w:styleId="ListBullet3">
    <w:name w:val="List Bullet 3"/>
    <w:basedOn w:val="List3"/>
    <w:rsid w:val="006C6CD3"/>
    <w:pPr>
      <w:numPr>
        <w:numId w:val="13"/>
      </w:numPr>
      <w:tabs>
        <w:tab w:val="clear" w:pos="1021"/>
      </w:tabs>
      <w:ind w:left="1037" w:hanging="357"/>
    </w:pPr>
  </w:style>
  <w:style w:type="paragraph" w:styleId="ListBullet4">
    <w:name w:val="List Bullet 4"/>
    <w:basedOn w:val="List4"/>
    <w:rsid w:val="006C6CD3"/>
    <w:pPr>
      <w:numPr>
        <w:numId w:val="2"/>
      </w:numPr>
      <w:tabs>
        <w:tab w:val="clear" w:pos="1361"/>
      </w:tabs>
    </w:pPr>
  </w:style>
  <w:style w:type="paragraph" w:styleId="ListBullet5">
    <w:name w:val="List Bullet 5"/>
    <w:basedOn w:val="List5"/>
    <w:rsid w:val="006C6CD3"/>
    <w:pPr>
      <w:numPr>
        <w:numId w:val="3"/>
      </w:numPr>
    </w:pPr>
  </w:style>
  <w:style w:type="paragraph" w:styleId="ListContinue2">
    <w:name w:val="List Continue 2"/>
    <w:basedOn w:val="List2"/>
    <w:rsid w:val="006C6CD3"/>
    <w:pPr>
      <w:ind w:firstLine="0"/>
    </w:pPr>
  </w:style>
  <w:style w:type="paragraph" w:styleId="ListContinue3">
    <w:name w:val="List Continue 3"/>
    <w:basedOn w:val="List3"/>
    <w:rsid w:val="006C6CD3"/>
    <w:pPr>
      <w:ind w:left="1021" w:firstLine="0"/>
    </w:pPr>
  </w:style>
  <w:style w:type="paragraph" w:styleId="ListContinue4">
    <w:name w:val="List Continue 4"/>
    <w:basedOn w:val="List4"/>
    <w:rsid w:val="006C6CD3"/>
    <w:pPr>
      <w:ind w:firstLine="0"/>
    </w:pPr>
  </w:style>
  <w:style w:type="paragraph" w:styleId="ListContinue5">
    <w:name w:val="List Continue 5"/>
    <w:basedOn w:val="List5"/>
    <w:rsid w:val="006C6CD3"/>
    <w:pPr>
      <w:ind w:firstLine="0"/>
    </w:pPr>
  </w:style>
  <w:style w:type="paragraph" w:styleId="ListNumber3">
    <w:name w:val="List Number 3"/>
    <w:basedOn w:val="List3"/>
    <w:rsid w:val="006C6CD3"/>
    <w:pPr>
      <w:numPr>
        <w:numId w:val="4"/>
      </w:numPr>
    </w:pPr>
  </w:style>
  <w:style w:type="paragraph" w:styleId="ListNumber4">
    <w:name w:val="List Number 4"/>
    <w:basedOn w:val="List4"/>
    <w:rsid w:val="006C6CD3"/>
    <w:pPr>
      <w:numPr>
        <w:numId w:val="5"/>
      </w:numPr>
    </w:pPr>
  </w:style>
  <w:style w:type="paragraph" w:styleId="ListNumber5">
    <w:name w:val="List Number 5"/>
    <w:basedOn w:val="List5"/>
    <w:rsid w:val="006C6CD3"/>
    <w:pPr>
      <w:numPr>
        <w:numId w:val="6"/>
      </w:numPr>
    </w:pPr>
  </w:style>
  <w:style w:type="paragraph" w:styleId="BlockText">
    <w:name w:val="Block Text"/>
    <w:basedOn w:val="Normal"/>
    <w:rsid w:val="006C6CD3"/>
    <w:pPr>
      <w:spacing w:after="120"/>
      <w:ind w:left="1440" w:right="1440"/>
    </w:pPr>
  </w:style>
  <w:style w:type="character" w:customStyle="1" w:styleId="Subscript">
    <w:name w:val="Subscript"/>
    <w:basedOn w:val="DefaultParagraphFont"/>
    <w:rsid w:val="006C6CD3"/>
    <w:rPr>
      <w:sz w:val="16"/>
      <w:vertAlign w:val="subscript"/>
    </w:rPr>
  </w:style>
  <w:style w:type="character" w:customStyle="1" w:styleId="Superscript">
    <w:name w:val="Superscript"/>
    <w:basedOn w:val="DefaultParagraphFont"/>
    <w:rsid w:val="006C6CD3"/>
    <w:rPr>
      <w:sz w:val="16"/>
      <w:vertAlign w:val="superscript"/>
    </w:rPr>
  </w:style>
  <w:style w:type="character" w:customStyle="1" w:styleId="Symbols">
    <w:name w:val="Symbols"/>
    <w:basedOn w:val="DefaultParagraphFont"/>
    <w:rsid w:val="006C6CD3"/>
    <w:rPr>
      <w:rFonts w:ascii="Symbol" w:hAnsi="Symbol"/>
    </w:rPr>
  </w:style>
  <w:style w:type="character" w:customStyle="1" w:styleId="MenuOptions">
    <w:name w:val="Menu Options"/>
    <w:basedOn w:val="DefaultParagraphFont"/>
    <w:rsid w:val="006C6CD3"/>
    <w:rPr>
      <w:rFonts w:ascii="Arial Narrow" w:hAnsi="Arial Narrow"/>
      <w:smallCaps/>
    </w:rPr>
  </w:style>
  <w:style w:type="character" w:customStyle="1" w:styleId="Buttons">
    <w:name w:val="Buttons"/>
    <w:basedOn w:val="DefaultParagraphFont"/>
    <w:rsid w:val="006C6CD3"/>
    <w:rPr>
      <w:b/>
    </w:rPr>
  </w:style>
  <w:style w:type="character" w:customStyle="1" w:styleId="Underlined">
    <w:name w:val="Underlined"/>
    <w:basedOn w:val="DefaultParagraphFont"/>
    <w:rsid w:val="006C6CD3"/>
    <w:rPr>
      <w:u w:val="single"/>
    </w:rPr>
  </w:style>
  <w:style w:type="paragraph" w:customStyle="1" w:styleId="TableBodyTextRight">
    <w:name w:val="Table Body Text Right"/>
    <w:basedOn w:val="TableBodyText"/>
    <w:rsid w:val="006C6CD3"/>
    <w:pPr>
      <w:widowControl w:val="0"/>
      <w:autoSpaceDE w:val="0"/>
      <w:autoSpaceDN w:val="0"/>
      <w:adjustRightInd w:val="0"/>
      <w:jc w:val="right"/>
    </w:pPr>
    <w:rPr>
      <w:rFonts w:cs="Arial"/>
      <w:szCs w:val="18"/>
    </w:rPr>
  </w:style>
  <w:style w:type="paragraph" w:customStyle="1" w:styleId="CopyrightText">
    <w:name w:val="Copyright Text"/>
    <w:basedOn w:val="BodyText"/>
    <w:rsid w:val="006C6CD3"/>
    <w:rPr>
      <w:sz w:val="18"/>
    </w:rPr>
  </w:style>
  <w:style w:type="paragraph" w:customStyle="1" w:styleId="BodySmallRight">
    <w:name w:val="Body Small Right"/>
    <w:basedOn w:val="BodyTextRight"/>
    <w:rsid w:val="006C6CD3"/>
    <w:rPr>
      <w:sz w:val="18"/>
      <w:szCs w:val="18"/>
    </w:rPr>
  </w:style>
  <w:style w:type="paragraph" w:customStyle="1" w:styleId="MarginEdition">
    <w:name w:val="Margin Edition"/>
    <w:basedOn w:val="MarginNote"/>
    <w:rsid w:val="006C6CD3"/>
    <w:pPr>
      <w:spacing w:before="0" w:after="0"/>
    </w:pPr>
    <w:rPr>
      <w:rFonts w:ascii="Times New Roman" w:hAnsi="Times New Roman"/>
      <w:color w:val="999999"/>
    </w:rPr>
  </w:style>
  <w:style w:type="paragraph" w:customStyle="1" w:styleId="Spacer">
    <w:name w:val="Spacer"/>
    <w:basedOn w:val="Normal"/>
    <w:rsid w:val="006C6CD3"/>
    <w:rPr>
      <w:sz w:val="2"/>
      <w:szCs w:val="2"/>
    </w:rPr>
  </w:style>
  <w:style w:type="character" w:customStyle="1" w:styleId="Small">
    <w:name w:val="Small"/>
    <w:basedOn w:val="DefaultParagraphFont"/>
    <w:rsid w:val="006C6CD3"/>
    <w:rPr>
      <w:sz w:val="16"/>
    </w:rPr>
  </w:style>
  <w:style w:type="paragraph" w:customStyle="1" w:styleId="WideTable">
    <w:name w:val="Wide Table"/>
    <w:basedOn w:val="Normal"/>
    <w:rsid w:val="006C6CD3"/>
    <w:pPr>
      <w:ind w:left="-1418"/>
    </w:pPr>
    <w:rPr>
      <w:sz w:val="2"/>
      <w:szCs w:val="2"/>
    </w:rPr>
  </w:style>
  <w:style w:type="character" w:styleId="PageNumber">
    <w:name w:val="page number"/>
    <w:basedOn w:val="DefaultParagraphFont"/>
    <w:rsid w:val="006C6CD3"/>
  </w:style>
  <w:style w:type="paragraph" w:styleId="Quote">
    <w:name w:val="Quote"/>
    <w:basedOn w:val="Heading1"/>
    <w:link w:val="QuoteChar"/>
    <w:qFormat/>
    <w:rsid w:val="006C6CD3"/>
    <w:rPr>
      <w:b w:val="0"/>
      <w:sz w:val="72"/>
      <w:szCs w:val="72"/>
      <w:lang w:val="en-NZ"/>
    </w:rPr>
  </w:style>
  <w:style w:type="character" w:customStyle="1" w:styleId="QuoteChar">
    <w:name w:val="Quote Char"/>
    <w:basedOn w:val="DefaultParagraphFont"/>
    <w:link w:val="Quote"/>
    <w:rsid w:val="006C6C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CD3"/>
    <w:pPr>
      <w:pageBreakBefore/>
    </w:pPr>
  </w:style>
  <w:style w:type="paragraph" w:customStyle="1" w:styleId="Border">
    <w:name w:val="Border"/>
    <w:basedOn w:val="Normal"/>
    <w:qFormat/>
    <w:rsid w:val="006C6C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CD3"/>
    <w:rPr>
      <w:b/>
      <w:bCs/>
      <w:i/>
      <w:iCs/>
      <w:color w:val="auto"/>
    </w:rPr>
  </w:style>
  <w:style w:type="paragraph" w:styleId="IntenseQuote">
    <w:name w:val="Intense Quote"/>
    <w:basedOn w:val="Normal"/>
    <w:next w:val="Normal"/>
    <w:link w:val="IntenseQuoteChar"/>
    <w:uiPriority w:val="30"/>
    <w:qFormat/>
    <w:rsid w:val="006C6C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C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6CD3"/>
    <w:rPr>
      <w:smallCaps/>
      <w:color w:val="auto"/>
      <w:u w:val="single"/>
    </w:rPr>
  </w:style>
  <w:style w:type="character" w:styleId="IntenseReference">
    <w:name w:val="Intense Reference"/>
    <w:basedOn w:val="DefaultParagraphFont"/>
    <w:uiPriority w:val="32"/>
    <w:qFormat/>
    <w:rsid w:val="006C6CD3"/>
    <w:rPr>
      <w:b/>
      <w:bCs/>
      <w:smallCaps/>
      <w:color w:val="auto"/>
      <w:spacing w:val="5"/>
      <w:u w:val="single"/>
    </w:rPr>
  </w:style>
  <w:style w:type="paragraph" w:customStyle="1" w:styleId="2ColumnHeading">
    <w:name w:val="2Column Heading"/>
    <w:basedOn w:val="BodyText"/>
    <w:qFormat/>
    <w:rsid w:val="006C6CD3"/>
    <w:pPr>
      <w:spacing w:after="60"/>
      <w:ind w:left="-2268"/>
    </w:pPr>
    <w:rPr>
      <w:b/>
    </w:rPr>
  </w:style>
  <w:style w:type="paragraph" w:customStyle="1" w:styleId="Heading1TOC">
    <w:name w:val="Heading1 TOC"/>
    <w:basedOn w:val="Normal"/>
    <w:qFormat/>
    <w:rsid w:val="006C6CD3"/>
    <w:pPr>
      <w:spacing w:before="240" w:after="120"/>
    </w:pPr>
    <w:rPr>
      <w:rFonts w:ascii="Times New Roman" w:hAnsi="Times New Roman"/>
      <w:b/>
      <w:sz w:val="32"/>
    </w:rPr>
  </w:style>
  <w:style w:type="paragraph" w:customStyle="1" w:styleId="Heading2TOC">
    <w:name w:val="Heading2 TOC"/>
    <w:basedOn w:val="Normal"/>
    <w:qFormat/>
    <w:rsid w:val="006C6CD3"/>
    <w:pPr>
      <w:spacing w:before="240" w:after="60"/>
    </w:pPr>
    <w:rPr>
      <w:rFonts w:ascii="Times New Roman" w:hAnsi="Times New Roman"/>
      <w:b/>
      <w:sz w:val="28"/>
    </w:rPr>
  </w:style>
  <w:style w:type="character" w:customStyle="1" w:styleId="Underline">
    <w:name w:val="Underline"/>
    <w:basedOn w:val="DefaultParagraphFont"/>
    <w:qFormat/>
    <w:rsid w:val="006C6CD3"/>
    <w:rPr>
      <w:u w:val="single"/>
    </w:rPr>
  </w:style>
  <w:style w:type="character" w:customStyle="1" w:styleId="BoldandItalics">
    <w:name w:val="Bold and Italics"/>
    <w:qFormat/>
    <w:rsid w:val="006C6CD3"/>
    <w:rPr>
      <w:b/>
      <w:i/>
      <w:u w:val="none"/>
    </w:rPr>
  </w:style>
  <w:style w:type="paragraph" w:styleId="BalloonText">
    <w:name w:val="Balloon Text"/>
    <w:basedOn w:val="Normal"/>
    <w:link w:val="BalloonTextChar"/>
    <w:rsid w:val="006C6CD3"/>
    <w:rPr>
      <w:rFonts w:ascii="Tahoma" w:hAnsi="Tahoma" w:cs="Tahoma"/>
      <w:sz w:val="16"/>
      <w:szCs w:val="16"/>
    </w:rPr>
  </w:style>
  <w:style w:type="character" w:customStyle="1" w:styleId="BalloonTextChar">
    <w:name w:val="Balloon Text Char"/>
    <w:basedOn w:val="DefaultParagraphFont"/>
    <w:link w:val="BalloonText"/>
    <w:rsid w:val="006C6C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6C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6C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6CD3"/>
    <w:rPr>
      <w:b/>
      <w:color w:val="660033"/>
      <w:spacing w:val="0"/>
    </w:rPr>
  </w:style>
  <w:style w:type="paragraph" w:customStyle="1" w:styleId="Nameditemlist">
    <w:name w:val="Named item list"/>
    <w:basedOn w:val="BodyText"/>
    <w:qFormat/>
    <w:rsid w:val="006C6CD3"/>
    <w:pPr>
      <w:tabs>
        <w:tab w:val="left" w:pos="2835"/>
      </w:tabs>
      <w:ind w:left="2835" w:hanging="2835"/>
    </w:pPr>
  </w:style>
  <w:style w:type="paragraph" w:customStyle="1" w:styleId="BodyTextnopadding">
    <w:name w:val="Body Text no padding"/>
    <w:basedOn w:val="BodyText"/>
    <w:qFormat/>
    <w:rsid w:val="006C6CD3"/>
    <w:pPr>
      <w:spacing w:before="0" w:after="0"/>
    </w:pPr>
  </w:style>
  <w:style w:type="paragraph" w:customStyle="1" w:styleId="BodyTextBold">
    <w:name w:val="Body Text Bold"/>
    <w:basedOn w:val="BodyText"/>
    <w:qFormat/>
    <w:rsid w:val="006C6CD3"/>
    <w:rPr>
      <w:b/>
    </w:rPr>
  </w:style>
  <w:style w:type="character" w:styleId="Hyperlink">
    <w:name w:val="Hyperlink"/>
    <w:basedOn w:val="DefaultParagraphFont"/>
    <w:uiPriority w:val="99"/>
    <w:unhideWhenUsed/>
    <w:rsid w:val="00C853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7227</Characters>
  <Application>Microsoft Office Word</Application>
  <DocSecurity>0</DocSecurity>
  <Lines>301</Lines>
  <Paragraphs>157</Paragraphs>
  <ScaleCrop>false</ScaleCrop>
  <Company>Author-it Software Corporation Ltd.</Company>
  <LinksUpToDate>false</LinksUpToDate>
  <CharactersWithSpaces>8204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TLIF4104 Manage change in the rail safety environment</dc:title>
  <dc:subject>Approved</dc:subject>
  <dc:creator>Industry Skills Australia</dc:creator>
  <cp:keywords>Release: 2</cp:keywords>
  <dc:description>Review Date: 12 April 2008</dc:description>
  <cp:lastModifiedBy>HSD_TPCMSd.prod</cp:lastModifiedBy>
  <cp:revision>3</cp:revision>
  <dcterms:created xsi:type="dcterms:W3CDTF">2025-03-01T21:31:00Z</dcterms:created>
  <dcterms:modified xsi:type="dcterms:W3CDTF">2025-03-01T21:31:00Z</dcterms:modified>
</cp:coreProperties>
</file>