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83F" w:rsidP="00101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TLIF4104 Manage change in the rail safety environment</w:t>
      </w:r>
      <w:r>
        <w:fldChar w:fldCharType="end"/>
      </w:r>
    </w:p>
    <w:p w:rsidR="0010183F" w:rsidP="0010183F">
      <w:pPr>
        <w:pStyle w:val="Version"/>
        <w:sectPr w:rsidSect="005E2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23F2" w:rsidP="005E23F2">
      <w:pPr>
        <w:pStyle w:val="SuperHeading"/>
      </w:pPr>
      <w:r w:rsidRPr="005E23F2">
        <w:t>Assessment Requirements for TLIF4104 Manage change in the rail safety environment</w:t>
      </w:r>
    </w:p>
    <w:p w:rsidR="00000000" w:rsidRPr="005E23F2" w:rsidP="005E23F2">
      <w:pPr>
        <w:pStyle w:val="Heading1"/>
      </w:pPr>
      <w:bookmarkStart w:id="1" w:name="O_1240628"/>
      <w:bookmarkEnd w:id="1"/>
      <w:r w:rsidRPr="005E23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F2" w:rsidP="005E23F2">
            <w:pPr>
              <w:pStyle w:val="BodyText"/>
            </w:pPr>
            <w:r w:rsidRPr="005E23F2">
              <w:rPr>
                <w:rStyle w:val="SpecialBold"/>
              </w:rPr>
              <w:t>Release 2</w:t>
            </w:r>
            <w:r w:rsidRPr="005E23F2">
              <w:t>. This is the second release of this unit of competency in the TLI Transport and Logistics Training Package:</w:t>
            </w:r>
          </w:p>
          <w:p w:rsidR="00000000" w:rsidP="005E23F2">
            <w:pPr>
              <w:pStyle w:val="ListBullet"/>
              <w:rPr>
                <w:lang w:val="en-NZ"/>
              </w:rPr>
            </w:pPr>
            <w:r w:rsidRPr="005E23F2">
              <w:t>Minor statement changes in Assessment Conditions.</w:t>
            </w:r>
          </w:p>
        </w:tc>
      </w:tr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F2" w:rsidP="005E23F2">
            <w:pPr>
              <w:pStyle w:val="BodyText"/>
            </w:pPr>
            <w:r w:rsidRPr="005E23F2">
              <w:rPr>
                <w:rStyle w:val="SpecialBold"/>
              </w:rPr>
              <w:t>Release 1</w:t>
            </w:r>
            <w:r w:rsidRPr="005E23F2">
              <w:t>. This is the first release of this unit of competency in the TLI Transport and Logistics Training Package.</w:t>
            </w:r>
          </w:p>
        </w:tc>
      </w:tr>
    </w:tbl>
    <w:p w:rsidR="00000000" w:rsidRPr="005E23F2" w:rsidP="005E23F2">
      <w:pPr>
        <w:pStyle w:val="NoPaddingFontSize1"/>
      </w:pPr>
    </w:p>
    <w:p w:rsidR="00000000" w:rsidRPr="005E23F2" w:rsidP="005E23F2">
      <w:pPr>
        <w:pStyle w:val="AllowPageBreak"/>
      </w:pPr>
    </w:p>
    <w:p w:rsidR="00000000" w:rsidRPr="005E23F2" w:rsidP="005E23F2">
      <w:pPr>
        <w:pStyle w:val="Heading1"/>
      </w:pPr>
      <w:bookmarkStart w:id="2" w:name="O_1240627"/>
      <w:bookmarkEnd w:id="2"/>
      <w:r w:rsidRPr="005E23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3F2">
            <w:pPr>
              <w:pStyle w:val="BodyText"/>
              <w:rPr>
                <w:lang w:val="en-NZ"/>
              </w:rPr>
            </w:pPr>
            <w:r w:rsidRPr="005E23F2">
              <w:t>Evidence required to demonstrate competence in</w:t>
            </w:r>
            <w:r w:rsidRPr="005E23F2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F2" w:rsidP="005E23F2">
            <w:pPr>
              <w:pStyle w:val="ListBullet"/>
            </w:pPr>
            <w:r w:rsidRPr="005E23F2">
              <w:t xml:space="preserve">adapting to changes in relevant legislation and regulations </w:t>
            </w:r>
          </w:p>
          <w:p w:rsidR="00000000" w:rsidRPr="005E23F2" w:rsidP="005E23F2">
            <w:pPr>
              <w:pStyle w:val="ListBullet"/>
            </w:pPr>
            <w:r w:rsidRPr="005E23F2">
              <w:t>applying relevant legislation and workplace pro</w:t>
            </w:r>
            <w:r w:rsidRPr="005E23F2">
              <w:t>cedures</w:t>
            </w:r>
          </w:p>
          <w:p w:rsidR="00000000" w:rsidRPr="005E23F2" w:rsidP="005E23F2">
            <w:pPr>
              <w:pStyle w:val="ListBullet"/>
            </w:pPr>
            <w:r w:rsidRPr="005E23F2">
              <w:t xml:space="preserve">communicating effectively and working collaboratively with others, including using appropriate words and language structure to explain complex ideas </w:t>
            </w:r>
          </w:p>
          <w:p w:rsidR="00000000" w:rsidRPr="005E23F2" w:rsidP="005E23F2">
            <w:pPr>
              <w:pStyle w:val="ListBullet"/>
            </w:pPr>
            <w:r w:rsidRPr="005E23F2">
              <w:t>conducting a review of an implemented change within an organisation</w:t>
            </w:r>
          </w:p>
          <w:p w:rsidR="00000000" w:rsidRPr="005E23F2" w:rsidP="005E23F2">
            <w:pPr>
              <w:pStyle w:val="ListBullet"/>
            </w:pPr>
            <w:r w:rsidRPr="005E23F2">
              <w:t>conducting risk assessments</w:t>
            </w:r>
          </w:p>
          <w:p w:rsidR="00000000" w:rsidRPr="005E23F2" w:rsidP="005E23F2">
            <w:pPr>
              <w:pStyle w:val="ListBullet"/>
            </w:pPr>
            <w:r w:rsidRPr="005E23F2">
              <w:t xml:space="preserve">consulting with stakeholders </w:t>
            </w:r>
          </w:p>
          <w:p w:rsidR="00000000" w:rsidRPr="005E23F2" w:rsidP="005E23F2">
            <w:pPr>
              <w:pStyle w:val="ListBullet"/>
            </w:pPr>
            <w:r w:rsidRPr="005E23F2">
              <w:t>developing a plan to implement a specific change within an organisation</w:t>
            </w:r>
          </w:p>
          <w:p w:rsidR="00000000" w:rsidRPr="005E23F2" w:rsidP="005E23F2">
            <w:pPr>
              <w:pStyle w:val="ListBullet"/>
            </w:pPr>
            <w:r w:rsidRPr="005E23F2">
              <w:t>identifying barriers to change within an organisation</w:t>
            </w:r>
          </w:p>
          <w:p w:rsidR="00000000" w:rsidRPr="005E23F2" w:rsidP="005E23F2">
            <w:pPr>
              <w:pStyle w:val="ListBullet"/>
            </w:pPr>
            <w:r w:rsidRPr="005E23F2">
              <w:t xml:space="preserve">implementing a specific change within an organisation </w:t>
            </w:r>
          </w:p>
          <w:p w:rsidR="00000000" w:rsidRPr="005E23F2" w:rsidP="005E23F2">
            <w:pPr>
              <w:pStyle w:val="ListBullet"/>
            </w:pPr>
            <w:r w:rsidRPr="005E23F2">
              <w:t>interpreting and explaining complex, formal d</w:t>
            </w:r>
            <w:r w:rsidRPr="005E23F2">
              <w:t>ocuments and assisting others to apply these in the workplace</w:t>
            </w:r>
          </w:p>
          <w:p w:rsidR="00000000" w:rsidRPr="005E23F2" w:rsidP="005E23F2">
            <w:pPr>
              <w:pStyle w:val="ListBullet"/>
            </w:pPr>
            <w:r w:rsidRPr="005E23F2">
              <w:t>monitoring change management strategies</w:t>
            </w:r>
          </w:p>
          <w:p w:rsidR="00000000" w:rsidRPr="005E23F2" w:rsidP="005E23F2">
            <w:pPr>
              <w:pStyle w:val="ListBullet"/>
            </w:pPr>
            <w:r w:rsidRPr="005E23F2">
              <w:t>preparing written advice and reports.</w:t>
            </w:r>
          </w:p>
        </w:tc>
      </w:tr>
    </w:tbl>
    <w:p w:rsidR="00000000" w:rsidRPr="005E23F2" w:rsidP="005E23F2">
      <w:pPr>
        <w:pStyle w:val="NoPaddingFontSize1"/>
      </w:pPr>
    </w:p>
    <w:p w:rsidR="00000000" w:rsidRPr="005E23F2" w:rsidP="005E23F2">
      <w:pPr>
        <w:pStyle w:val="AllowPageBreak"/>
      </w:pPr>
    </w:p>
    <w:p w:rsidR="00000000" w:rsidRPr="005E23F2" w:rsidP="005E23F2">
      <w:pPr>
        <w:pStyle w:val="Heading1"/>
      </w:pPr>
      <w:bookmarkStart w:id="3" w:name="O_1240626"/>
      <w:bookmarkEnd w:id="3"/>
      <w:r w:rsidRPr="005E23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3F2">
            <w:pPr>
              <w:pStyle w:val="BodyText"/>
              <w:rPr>
                <w:lang w:val="en-NZ"/>
              </w:rPr>
            </w:pPr>
            <w:r w:rsidRPr="005E23F2">
              <w:t>Evidence required to demonstrate competence in this unit must be relevant to</w:t>
            </w:r>
            <w:r w:rsidRPr="005E23F2">
              <w:t xml:space="preserve"> and satisfy all of the requirements of the elements and performance criteria and include knowledge of:</w:t>
            </w:r>
          </w:p>
        </w:tc>
      </w:tr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F2" w:rsidP="005E23F2">
            <w:pPr>
              <w:pStyle w:val="ListBullet"/>
            </w:pPr>
            <w:r w:rsidRPr="005E23F2">
              <w:t>change management strategies</w:t>
            </w:r>
          </w:p>
          <w:p w:rsidR="00000000" w:rsidRPr="005E23F2" w:rsidP="005E23F2">
            <w:pPr>
              <w:pStyle w:val="ListBullet"/>
            </w:pPr>
            <w:r w:rsidRPr="005E23F2">
              <w:t>key factors in the internal and external operating environment</w:t>
            </w:r>
          </w:p>
          <w:p w:rsidR="00000000" w:rsidRPr="005E23F2" w:rsidP="005E23F2">
            <w:pPr>
              <w:pStyle w:val="ListBullet"/>
            </w:pPr>
            <w:r w:rsidRPr="005E23F2">
              <w:t>negotiation processes</w:t>
            </w:r>
          </w:p>
          <w:p w:rsidR="00000000" w:rsidRPr="005E23F2" w:rsidP="005E23F2">
            <w:pPr>
              <w:pStyle w:val="ListBullet"/>
            </w:pPr>
            <w:r w:rsidRPr="005E23F2">
              <w:t>org</w:t>
            </w:r>
            <w:r w:rsidRPr="005E23F2">
              <w:t>anisational goals, policies and procedures</w:t>
            </w:r>
          </w:p>
          <w:p w:rsidR="00000000" w:rsidRPr="005E23F2" w:rsidP="005E23F2">
            <w:pPr>
              <w:pStyle w:val="ListBullet"/>
            </w:pPr>
            <w:r w:rsidRPr="005E23F2">
              <w:t>organisational systems for risk management and risk mitigation</w:t>
            </w:r>
          </w:p>
          <w:p w:rsidR="00000000" w:rsidRPr="005E23F2" w:rsidP="005E23F2">
            <w:pPr>
              <w:pStyle w:val="ListBullet"/>
            </w:pPr>
            <w:r w:rsidRPr="005E23F2">
              <w:t xml:space="preserve">relevant Rail Safety National Law (RSNL), regulations and requirements related to managing </w:t>
            </w:r>
            <w:r w:rsidRPr="005E23F2">
              <w:t>change</w:t>
            </w:r>
          </w:p>
          <w:p w:rsidR="00000000" w:rsidRPr="005E23F2" w:rsidP="005E23F2">
            <w:pPr>
              <w:pStyle w:val="ListBullet"/>
            </w:pPr>
            <w:r w:rsidRPr="005E23F2">
              <w:t>safety management systems.</w:t>
            </w:r>
          </w:p>
        </w:tc>
      </w:tr>
    </w:tbl>
    <w:p w:rsidR="00000000" w:rsidRPr="005E23F2" w:rsidP="005E23F2">
      <w:pPr>
        <w:pStyle w:val="NoPaddingFontSize1"/>
      </w:pPr>
    </w:p>
    <w:p w:rsidR="00000000" w:rsidRPr="005E23F2" w:rsidP="005E23F2">
      <w:pPr>
        <w:pStyle w:val="AllowPageBreak"/>
      </w:pPr>
    </w:p>
    <w:p w:rsidR="00000000" w:rsidRPr="005E23F2" w:rsidP="005E23F2">
      <w:pPr>
        <w:pStyle w:val="Heading1"/>
      </w:pPr>
      <w:bookmarkStart w:id="4" w:name="O_1240625"/>
      <w:bookmarkEnd w:id="4"/>
      <w:r w:rsidRPr="005E23F2">
        <w:t>Asse</w:t>
      </w:r>
      <w:r w:rsidRPr="005E23F2">
        <w:t>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3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3F2" w:rsidP="005E23F2">
            <w:pPr>
              <w:pStyle w:val="BodyText"/>
            </w:pPr>
            <w:r w:rsidRPr="005E23F2">
              <w:t xml:space="preserve">Assessors must hold credentials specified within the Standards for Registered Training Organisations current at the time of assessment. </w:t>
            </w:r>
          </w:p>
          <w:p w:rsidR="00000000" w:rsidRPr="005E23F2" w:rsidP="005E23F2">
            <w:pPr>
              <w:pStyle w:val="BodyText"/>
            </w:pPr>
            <w:r w:rsidRPr="005E23F2">
              <w:t>Assessment must satisfy the Principles of Assessment and Rules of Evidence and all regulatory require</w:t>
            </w:r>
            <w:r w:rsidRPr="005E23F2">
              <w:t>ments included within the Standards for Registered Training Organisations current at the time of assessment.</w:t>
            </w:r>
          </w:p>
          <w:p w:rsidR="00000000" w:rsidRPr="005E23F2" w:rsidP="005E23F2">
            <w:pPr>
              <w:pStyle w:val="BodyText"/>
            </w:pPr>
            <w:r w:rsidRPr="005E23F2">
              <w:t>Assessment must occur in workplace operational situations where it is appropriate to do so; where this is not appropriate, assessment must occur in</w:t>
            </w:r>
            <w:r w:rsidRPr="005E23F2">
              <w:t xml:space="preserve"> simulated workplace operational situations that replicate rail workplace conditions.</w:t>
            </w:r>
          </w:p>
          <w:p w:rsidR="00000000" w:rsidRPr="005E23F2" w:rsidP="005E23F2">
            <w:pPr>
              <w:pStyle w:val="BodyText"/>
            </w:pPr>
            <w:r w:rsidRPr="005E23F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E23F2" w:rsidP="005E23F2">
            <w:pPr>
              <w:pStyle w:val="BodyText"/>
            </w:pPr>
            <w:r w:rsidRPr="005E23F2">
              <w:t>Resources for assessment must include access to:</w:t>
            </w:r>
          </w:p>
          <w:p w:rsidR="00000000" w:rsidRPr="005E23F2" w:rsidP="005E23F2">
            <w:pPr>
              <w:pStyle w:val="ListBullet"/>
            </w:pPr>
            <w:r w:rsidRPr="005E23F2">
              <w:t>a range of relevant exercises, case studies and/or simulations</w:t>
            </w:r>
          </w:p>
          <w:p w:rsidR="00000000" w:rsidRPr="005E23F2" w:rsidP="005E23F2">
            <w:pPr>
              <w:pStyle w:val="ListBullet"/>
            </w:pPr>
            <w:r w:rsidRPr="005E23F2">
              <w:t>applicable documentation including workplace procedures, regulations, codes of practice and operation manuals.</w:t>
            </w:r>
          </w:p>
        </w:tc>
      </w:tr>
    </w:tbl>
    <w:p w:rsidR="00000000" w:rsidRPr="005E23F2" w:rsidP="005E23F2">
      <w:pPr>
        <w:pStyle w:val="NoPaddingFontSize1"/>
      </w:pPr>
    </w:p>
    <w:p w:rsidR="00000000" w:rsidRPr="005E23F2" w:rsidP="005E23F2">
      <w:pPr>
        <w:pStyle w:val="AllowPageBreak"/>
      </w:pPr>
    </w:p>
    <w:p w:rsidR="00000000" w:rsidRPr="005E23F2" w:rsidP="005E23F2">
      <w:pPr>
        <w:pStyle w:val="Heading1"/>
      </w:pPr>
      <w:bookmarkStart w:id="5" w:name="O_1240640"/>
      <w:bookmarkEnd w:id="5"/>
      <w:r w:rsidRPr="005E23F2">
        <w:t>Links</w:t>
      </w:r>
    </w:p>
    <w:p w:rsidR="00000000" w:rsidRPr="005E23F2" w:rsidP="0010183F">
      <w:pPr>
        <w:pStyle w:val="BodyText"/>
      </w:pPr>
      <w:r w:rsidRPr="005E23F2">
        <w:t>Compa</w:t>
      </w:r>
      <w:r w:rsidRPr="005E23F2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321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23F2" w:rsidP="005E23F2"/>
    <w:sectPr w:rsidSect="005E23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F2" w:rsidRPr="0010183F" w:rsidP="00101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3F" w:rsidP="005E2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83F" w:rsidP="005E2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183F" w:rsidP="005E2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3F2" w:rsidRPr="0010183F" w:rsidP="00101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3F" w:rsidRPr="002D2AF8" w:rsidP="005E2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TLIF4104 Manage change in the rail safety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0183F" w:rsidP="005E2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C8E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201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3F2"/>
  </w:style>
  <w:style w:type="character" w:customStyle="1" w:styleId="Heading1Char">
    <w:name w:val="Heading 1 Char"/>
    <w:basedOn w:val="DefaultParagraphFont"/>
    <w:link w:val="Heading1"/>
    <w:rsid w:val="005E2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3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3F2"/>
    <w:rPr>
      <w:b/>
      <w:spacing w:val="0"/>
    </w:rPr>
  </w:style>
  <w:style w:type="paragraph" w:customStyle="1" w:styleId="SuperHeading">
    <w:name w:val="SuperHeading"/>
    <w:basedOn w:val="Normal"/>
    <w:rsid w:val="005E2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2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3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3F2"/>
    <w:rPr>
      <w:i/>
    </w:rPr>
  </w:style>
  <w:style w:type="paragraph" w:styleId="Caption">
    <w:name w:val="caption"/>
    <w:basedOn w:val="BodyText"/>
    <w:next w:val="Normal"/>
    <w:qFormat/>
    <w:rsid w:val="005E2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3F2"/>
  </w:style>
  <w:style w:type="paragraph" w:styleId="TableofFigures">
    <w:name w:val="table of figures"/>
    <w:basedOn w:val="Normal"/>
    <w:next w:val="Normal"/>
    <w:semiHidden/>
    <w:rsid w:val="005E2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3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3F2"/>
    <w:rPr>
      <w:rFonts w:ascii="Wingdings" w:hAnsi="Wingdings"/>
    </w:rPr>
  </w:style>
  <w:style w:type="paragraph" w:customStyle="1" w:styleId="TableHeading">
    <w:name w:val="Table Heading"/>
    <w:basedOn w:val="HeadingBase"/>
    <w:rsid w:val="005E2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3F2"/>
    <w:rPr>
      <w:color w:val="0033CC"/>
      <w:u w:val="none"/>
    </w:rPr>
  </w:style>
  <w:style w:type="paragraph" w:customStyle="1" w:styleId="BodyTextRight">
    <w:name w:val="Body Text Right"/>
    <w:basedOn w:val="BodyText"/>
    <w:rsid w:val="005E2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3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3F2"/>
    <w:rPr>
      <w:sz w:val="32"/>
    </w:rPr>
  </w:style>
  <w:style w:type="paragraph" w:customStyle="1" w:styleId="HeadingProcedure">
    <w:name w:val="Heading Procedure"/>
    <w:basedOn w:val="HeadingBase"/>
    <w:next w:val="Normal"/>
    <w:rsid w:val="005E2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3F2"/>
    <w:pPr>
      <w:spacing w:before="60" w:after="60"/>
    </w:pPr>
  </w:style>
  <w:style w:type="paragraph" w:styleId="ListContinue">
    <w:name w:val="List Continue"/>
    <w:basedOn w:val="List"/>
    <w:rsid w:val="005E23F2"/>
    <w:pPr>
      <w:ind w:firstLine="0"/>
    </w:pPr>
  </w:style>
  <w:style w:type="paragraph" w:customStyle="1" w:styleId="ListNote">
    <w:name w:val="List Note"/>
    <w:basedOn w:val="List"/>
    <w:rsid w:val="005E2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3F2"/>
    <w:rPr>
      <w:rFonts w:ascii="Courier New" w:hAnsi="Courier New"/>
    </w:rPr>
  </w:style>
  <w:style w:type="paragraph" w:customStyle="1" w:styleId="NoteBullet">
    <w:name w:val="Note Bullet"/>
    <w:basedOn w:val="Note"/>
    <w:rsid w:val="005E2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3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3F2"/>
    <w:rPr>
      <w:b/>
      <w:smallCaps/>
    </w:rPr>
  </w:style>
  <w:style w:type="paragraph" w:customStyle="1" w:styleId="TableListNumber">
    <w:name w:val="Table List Number"/>
    <w:basedOn w:val="ListNumber"/>
    <w:rsid w:val="005E2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3F2"/>
    <w:pPr>
      <w:numPr>
        <w:numId w:val="8"/>
      </w:numPr>
    </w:pPr>
  </w:style>
  <w:style w:type="paragraph" w:customStyle="1" w:styleId="ListAlpha2">
    <w:name w:val="List Alpha 2"/>
    <w:basedOn w:val="List2"/>
    <w:rsid w:val="005E23F2"/>
    <w:pPr>
      <w:numPr>
        <w:numId w:val="7"/>
      </w:numPr>
    </w:pPr>
  </w:style>
  <w:style w:type="paragraph" w:styleId="List2">
    <w:name w:val="List 2"/>
    <w:basedOn w:val="BodyText"/>
    <w:rsid w:val="005E2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3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3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3F2"/>
    <w:pPr>
      <w:numPr>
        <w:numId w:val="3"/>
      </w:numPr>
    </w:pPr>
  </w:style>
  <w:style w:type="paragraph" w:styleId="ListContinue2">
    <w:name w:val="List Continue 2"/>
    <w:basedOn w:val="List2"/>
    <w:rsid w:val="005E23F2"/>
    <w:pPr>
      <w:ind w:firstLine="0"/>
    </w:pPr>
  </w:style>
  <w:style w:type="paragraph" w:styleId="ListContinue3">
    <w:name w:val="List Continue 3"/>
    <w:basedOn w:val="List3"/>
    <w:rsid w:val="005E23F2"/>
    <w:pPr>
      <w:ind w:left="1021" w:firstLine="0"/>
    </w:pPr>
  </w:style>
  <w:style w:type="paragraph" w:styleId="ListContinue4">
    <w:name w:val="List Continue 4"/>
    <w:basedOn w:val="List4"/>
    <w:rsid w:val="005E23F2"/>
    <w:pPr>
      <w:ind w:firstLine="0"/>
    </w:pPr>
  </w:style>
  <w:style w:type="paragraph" w:styleId="ListContinue5">
    <w:name w:val="List Continue 5"/>
    <w:basedOn w:val="List5"/>
    <w:rsid w:val="005E23F2"/>
    <w:pPr>
      <w:ind w:firstLine="0"/>
    </w:pPr>
  </w:style>
  <w:style w:type="paragraph" w:styleId="ListNumber3">
    <w:name w:val="List Number 3"/>
    <w:basedOn w:val="List3"/>
    <w:rsid w:val="005E23F2"/>
    <w:pPr>
      <w:numPr>
        <w:numId w:val="4"/>
      </w:numPr>
    </w:pPr>
  </w:style>
  <w:style w:type="paragraph" w:styleId="ListNumber4">
    <w:name w:val="List Number 4"/>
    <w:basedOn w:val="List4"/>
    <w:rsid w:val="005E23F2"/>
    <w:pPr>
      <w:numPr>
        <w:numId w:val="5"/>
      </w:numPr>
    </w:pPr>
  </w:style>
  <w:style w:type="paragraph" w:styleId="ListNumber5">
    <w:name w:val="List Number 5"/>
    <w:basedOn w:val="List5"/>
    <w:rsid w:val="005E23F2"/>
    <w:pPr>
      <w:numPr>
        <w:numId w:val="6"/>
      </w:numPr>
    </w:pPr>
  </w:style>
  <w:style w:type="paragraph" w:styleId="BlockText">
    <w:name w:val="Block Text"/>
    <w:basedOn w:val="Normal"/>
    <w:rsid w:val="005E2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3F2"/>
    <w:rPr>
      <w:sz w:val="16"/>
      <w:vertAlign w:val="superscript"/>
    </w:rPr>
  </w:style>
  <w:style w:type="character" w:customStyle="1" w:styleId="Symbols">
    <w:name w:val="Symbols"/>
    <w:basedOn w:val="DefaultParagraphFont"/>
    <w:rsid w:val="005E23F2"/>
    <w:rPr>
      <w:rFonts w:ascii="Symbol" w:hAnsi="Symbol"/>
    </w:rPr>
  </w:style>
  <w:style w:type="character" w:customStyle="1" w:styleId="MenuOptions">
    <w:name w:val="Menu Options"/>
    <w:basedOn w:val="DefaultParagraphFont"/>
    <w:rsid w:val="005E2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3F2"/>
    <w:rPr>
      <w:b/>
    </w:rPr>
  </w:style>
  <w:style w:type="character" w:customStyle="1" w:styleId="Underlined">
    <w:name w:val="Underlined"/>
    <w:basedOn w:val="DefaultParagraphFont"/>
    <w:rsid w:val="005E23F2"/>
    <w:rPr>
      <w:u w:val="single"/>
    </w:rPr>
  </w:style>
  <w:style w:type="paragraph" w:customStyle="1" w:styleId="TableBodyTextRight">
    <w:name w:val="Table Body Text Right"/>
    <w:basedOn w:val="TableBodyText"/>
    <w:rsid w:val="005E2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3F2"/>
    <w:rPr>
      <w:sz w:val="18"/>
    </w:rPr>
  </w:style>
  <w:style w:type="paragraph" w:customStyle="1" w:styleId="BodySmallRight">
    <w:name w:val="Body Small Right"/>
    <w:basedOn w:val="BodyTextRight"/>
    <w:rsid w:val="005E23F2"/>
    <w:rPr>
      <w:sz w:val="18"/>
      <w:szCs w:val="18"/>
    </w:rPr>
  </w:style>
  <w:style w:type="paragraph" w:customStyle="1" w:styleId="MarginEdition">
    <w:name w:val="Margin Edition"/>
    <w:basedOn w:val="MarginNote"/>
    <w:rsid w:val="005E2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3F2"/>
    <w:rPr>
      <w:sz w:val="2"/>
      <w:szCs w:val="2"/>
    </w:rPr>
  </w:style>
  <w:style w:type="character" w:customStyle="1" w:styleId="Small">
    <w:name w:val="Small"/>
    <w:basedOn w:val="DefaultParagraphFont"/>
    <w:rsid w:val="005E23F2"/>
    <w:rPr>
      <w:sz w:val="16"/>
    </w:rPr>
  </w:style>
  <w:style w:type="paragraph" w:customStyle="1" w:styleId="WideTable">
    <w:name w:val="Wide Table"/>
    <w:basedOn w:val="Normal"/>
    <w:rsid w:val="005E2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3F2"/>
  </w:style>
  <w:style w:type="paragraph" w:styleId="Quote">
    <w:name w:val="Quote"/>
    <w:basedOn w:val="Heading1"/>
    <w:link w:val="QuoteChar"/>
    <w:qFormat/>
    <w:rsid w:val="005E2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3F2"/>
    <w:pPr>
      <w:pageBreakBefore/>
    </w:pPr>
  </w:style>
  <w:style w:type="paragraph" w:customStyle="1" w:styleId="Border">
    <w:name w:val="Border"/>
    <w:basedOn w:val="Normal"/>
    <w:qFormat/>
    <w:rsid w:val="005E2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3F2"/>
    <w:rPr>
      <w:u w:val="single"/>
    </w:rPr>
  </w:style>
  <w:style w:type="character" w:customStyle="1" w:styleId="BoldandItalics">
    <w:name w:val="Bold and Italics"/>
    <w:qFormat/>
    <w:rsid w:val="005E23F2"/>
    <w:rPr>
      <w:b/>
      <w:i/>
      <w:u w:val="none"/>
    </w:rPr>
  </w:style>
  <w:style w:type="paragraph" w:styleId="BalloonText">
    <w:name w:val="Balloon Text"/>
    <w:basedOn w:val="Normal"/>
    <w:link w:val="BalloonTextChar"/>
    <w:rsid w:val="005E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3F2"/>
    <w:pPr>
      <w:spacing w:before="0" w:after="0"/>
    </w:pPr>
  </w:style>
  <w:style w:type="paragraph" w:customStyle="1" w:styleId="BodyTextBold">
    <w:name w:val="Body Text Bold"/>
    <w:basedOn w:val="BodyText"/>
    <w:qFormat/>
    <w:rsid w:val="005E23F2"/>
    <w:rPr>
      <w:b/>
    </w:rPr>
  </w:style>
  <w:style w:type="character" w:styleId="Hyperlink">
    <w:name w:val="Hyperlink"/>
    <w:basedOn w:val="DefaultParagraphFont"/>
    <w:uiPriority w:val="99"/>
    <w:unhideWhenUsed/>
    <w:rsid w:val="00101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2888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TLIF4104 Manage change in the rail safety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