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40685" w:rsidP="00340685">
      <w:pPr>
        <w:pStyle w:val="Title"/>
      </w:pPr>
      <w:r>
        <w:fldChar w:fldCharType="begin"/>
      </w:r>
      <w:r>
        <w:instrText xml:space="preserve"> TITLE   \* MERGEFORMAT </w:instrText>
      </w:r>
      <w:r>
        <w:fldChar w:fldCharType="separate"/>
      </w:r>
      <w:r>
        <w:t>TLIF4100 Identify and meet rail safety regulatory compliance requirements</w:t>
      </w:r>
      <w:r>
        <w:fldChar w:fldCharType="end"/>
      </w:r>
    </w:p>
    <w:p w:rsidR="00340685" w:rsidP="00340685">
      <w:pPr>
        <w:pStyle w:val="Version"/>
        <w:sectPr w:rsidSect="004A4EE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A4EEA" w:rsidP="004A4EEA">
      <w:pPr>
        <w:pStyle w:val="SuperHeading"/>
      </w:pPr>
      <w:r w:rsidRPr="004A4EEA">
        <w:t>TLIF4100 Identify and meet rail safety regulatory compliance requirements</w:t>
      </w:r>
    </w:p>
    <w:p w:rsidR="00000000" w:rsidRPr="004A4EEA" w:rsidP="004A4EEA">
      <w:pPr>
        <w:pStyle w:val="Heading1"/>
      </w:pPr>
      <w:bookmarkStart w:id="1" w:name="O_1240602"/>
      <w:bookmarkEnd w:id="1"/>
      <w:r w:rsidRPr="004A4EEA">
        <w:t>Modification History</w:t>
      </w:r>
    </w:p>
    <w:tbl>
      <w:tblPr>
        <w:tblW w:w="9497" w:type="dxa"/>
        <w:tblLayout w:type="fixed"/>
        <w:tblCellMar>
          <w:left w:w="62" w:type="dxa"/>
          <w:right w:w="62" w:type="dxa"/>
        </w:tblCellMar>
        <w:tblLook w:val="0000"/>
      </w:tblPr>
      <w:tblGrid>
        <w:gridCol w:w="9497"/>
      </w:tblGrid>
      <w:tr w:rsidTr="004A4EE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A4EEA" w:rsidP="004A4EEA">
            <w:pPr>
              <w:pStyle w:val="BodyText"/>
            </w:pPr>
            <w:r w:rsidRPr="004A4EEA">
              <w:rPr>
                <w:rStyle w:val="SpecialBold"/>
              </w:rPr>
              <w:t>Release 2</w:t>
            </w:r>
            <w:r w:rsidRPr="004A4EEA">
              <w:t>. This is the second release of this unit of competency in the TLI Transport and Logistics Training Package:</w:t>
            </w:r>
          </w:p>
          <w:p w:rsidR="00000000" w:rsidRPr="004A4EEA" w:rsidP="004A4EEA">
            <w:pPr>
              <w:pStyle w:val="ListBullet"/>
            </w:pPr>
            <w:r w:rsidRPr="004A4EEA">
              <w:t>Minor statement changes in Performance Evidence</w:t>
            </w:r>
          </w:p>
          <w:p w:rsidR="00000000" w:rsidRPr="004A4EEA" w:rsidP="004A4EEA">
            <w:pPr>
              <w:pStyle w:val="ListBullet"/>
            </w:pPr>
            <w:r w:rsidRPr="004A4EEA">
              <w:t>Minor statement changes in</w:t>
            </w:r>
            <w:r w:rsidRPr="004A4EEA">
              <w:rPr>
                <w:rStyle w:val="Emphasis"/>
              </w:rPr>
              <w:t xml:space="preserve"> </w:t>
            </w:r>
            <w:r w:rsidRPr="004A4EEA">
              <w:t>Knowledge Evidence</w:t>
            </w:r>
          </w:p>
          <w:p w:rsidR="00000000" w:rsidP="004A4EEA">
            <w:pPr>
              <w:pStyle w:val="ListBullet"/>
              <w:rPr>
                <w:lang w:val="en-NZ"/>
              </w:rPr>
            </w:pPr>
            <w:r w:rsidRPr="004A4EEA">
              <w:t>Minor statement changes in Assessment Conditions.</w:t>
            </w:r>
          </w:p>
        </w:tc>
      </w:tr>
      <w:tr w:rsidTr="004A4EE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A4EEA" w:rsidP="004A4EEA">
            <w:pPr>
              <w:pStyle w:val="BodyText"/>
            </w:pPr>
            <w:r w:rsidRPr="004A4EEA">
              <w:rPr>
                <w:rStyle w:val="SpecialBold"/>
              </w:rPr>
              <w:t>Release 1</w:t>
            </w:r>
            <w:r w:rsidRPr="004A4EEA">
              <w:t>. This is the first release of this unit of competency in the TLI Transport and Logistics Training Pac</w:t>
            </w:r>
            <w:r w:rsidRPr="004A4EEA">
              <w:t>kage.</w:t>
            </w:r>
          </w:p>
        </w:tc>
      </w:tr>
    </w:tbl>
    <w:p w:rsidR="00000000" w:rsidRPr="004A4EEA" w:rsidP="004A4EEA">
      <w:pPr>
        <w:pStyle w:val="NoPaddingFontSize1"/>
      </w:pPr>
    </w:p>
    <w:p w:rsidR="00000000" w:rsidRPr="004A4EEA" w:rsidP="004A4EEA">
      <w:pPr>
        <w:pStyle w:val="AllowPageBreak"/>
      </w:pPr>
    </w:p>
    <w:p w:rsidR="00000000" w:rsidRPr="004A4EEA" w:rsidP="004A4EEA">
      <w:pPr>
        <w:pStyle w:val="Heading1"/>
      </w:pPr>
      <w:bookmarkStart w:id="2" w:name="O_1240601"/>
      <w:bookmarkEnd w:id="2"/>
      <w:r w:rsidRPr="004A4EEA">
        <w:t>Application</w:t>
      </w:r>
    </w:p>
    <w:tbl>
      <w:tblPr>
        <w:tblW w:w="9497" w:type="dxa"/>
        <w:tblLayout w:type="fixed"/>
        <w:tblCellMar>
          <w:left w:w="62" w:type="dxa"/>
          <w:right w:w="62" w:type="dxa"/>
        </w:tblCellMar>
        <w:tblLook w:val="0000"/>
      </w:tblPr>
      <w:tblGrid>
        <w:gridCol w:w="9497"/>
      </w:tblGrid>
      <w:tr w:rsidTr="004A4EE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A4EEA" w:rsidP="004A4EEA">
            <w:pPr>
              <w:pStyle w:val="BodyText"/>
            </w:pPr>
            <w:r w:rsidRPr="004A4EEA">
              <w:t xml:space="preserve">This unit involves the skills and knowledge required to identify and meet rail safety regulatory requirements. </w:t>
            </w:r>
          </w:p>
          <w:p w:rsidR="00000000" w:rsidRPr="004A4EEA" w:rsidP="004A4EEA">
            <w:pPr>
              <w:pStyle w:val="BodyText"/>
            </w:pPr>
            <w:r w:rsidRPr="004A4EEA">
              <w:t>It involves interpreting rail safety legislation for specific scope and nature of rail transport operator</w:t>
            </w:r>
            <w:r w:rsidRPr="004A4EEA">
              <w:t xml:space="preserve"> railway operations.</w:t>
            </w:r>
          </w:p>
          <w:p w:rsidR="00000000" w:rsidRPr="004A4EEA" w:rsidP="004A4EEA">
            <w:pPr>
              <w:pStyle w:val="BodyText"/>
            </w:pPr>
            <w:r w:rsidRPr="004A4EEA">
              <w:t>Rail safety regulatory compliance requirements can be defined by a range of rail safety operating principles such as:</w:t>
            </w:r>
          </w:p>
          <w:p w:rsidR="00000000" w:rsidRPr="004A4EEA" w:rsidP="004A4EEA">
            <w:pPr>
              <w:pStyle w:val="ListBullet2"/>
            </w:pPr>
            <w:r w:rsidRPr="004A4EEA">
              <w:t>ensuring emergencies and incidents are properly managed</w:t>
            </w:r>
          </w:p>
          <w:p w:rsidR="00000000" w:rsidRPr="004A4EEA" w:rsidP="004A4EEA">
            <w:pPr>
              <w:pStyle w:val="ListBullet2"/>
            </w:pPr>
            <w:r w:rsidRPr="004A4EEA">
              <w:t>ensuring interfaces betwe</w:t>
            </w:r>
            <w:r w:rsidRPr="004A4EEA">
              <w:t>en different organisations are properly defined and managed</w:t>
            </w:r>
          </w:p>
          <w:p w:rsidR="00000000" w:rsidRPr="004A4EEA" w:rsidP="004A4EEA">
            <w:pPr>
              <w:pStyle w:val="ListBullet2"/>
            </w:pPr>
            <w:r w:rsidRPr="004A4EEA">
              <w:t>identifying and managing risk</w:t>
            </w:r>
          </w:p>
          <w:p w:rsidR="00000000" w:rsidRPr="004A4EEA" w:rsidP="004A4EEA">
            <w:pPr>
              <w:pStyle w:val="ListBullet2"/>
            </w:pPr>
            <w:r w:rsidRPr="004A4EEA">
              <w:t>protecting persons from injury</w:t>
            </w:r>
          </w:p>
          <w:p w:rsidR="00000000" w:rsidRPr="004A4EEA" w:rsidP="004A4EEA">
            <w:pPr>
              <w:pStyle w:val="ListBullet2"/>
            </w:pPr>
            <w:r w:rsidRPr="004A4EEA">
              <w:t>protecting property from damage</w:t>
            </w:r>
          </w:p>
          <w:p w:rsidR="00000000" w:rsidRPr="004A4EEA" w:rsidP="004A4EEA">
            <w:pPr>
              <w:pStyle w:val="ListBullet2"/>
            </w:pPr>
            <w:r w:rsidRPr="004A4EEA">
              <w:t>track access</w:t>
            </w:r>
          </w:p>
          <w:p w:rsidR="00000000" w:rsidRPr="004A4EEA" w:rsidP="004A4EEA">
            <w:pPr>
              <w:pStyle w:val="ListBullet2"/>
            </w:pPr>
            <w:r w:rsidRPr="004A4EEA">
              <w:t>train separation.</w:t>
            </w:r>
          </w:p>
          <w:p w:rsidR="00000000" w:rsidRPr="004A4EEA" w:rsidP="004A4EEA">
            <w:pPr>
              <w:pStyle w:val="BodyText"/>
            </w:pPr>
            <w:r w:rsidRPr="004A4EEA">
              <w:t>No licensing, legislative or certification requirements apply to this un</w:t>
            </w:r>
            <w:r w:rsidRPr="004A4EEA">
              <w:t>it at the time of publication.</w:t>
            </w:r>
          </w:p>
        </w:tc>
      </w:tr>
    </w:tbl>
    <w:p w:rsidR="00000000" w:rsidRPr="004A4EEA" w:rsidP="004A4EEA">
      <w:pPr>
        <w:pStyle w:val="NoPaddingFontSize1"/>
      </w:pPr>
    </w:p>
    <w:p w:rsidR="00000000" w:rsidRPr="004A4EEA" w:rsidP="004A4EEA">
      <w:pPr>
        <w:pStyle w:val="AllowPageBreak"/>
      </w:pPr>
    </w:p>
    <w:p w:rsidR="00000000" w:rsidRPr="004A4EEA" w:rsidP="004A4EEA">
      <w:pPr>
        <w:pStyle w:val="Heading1"/>
      </w:pPr>
      <w:bookmarkStart w:id="3" w:name="O_1240600"/>
      <w:bookmarkEnd w:id="3"/>
      <w:r w:rsidRPr="004A4EEA">
        <w:t>Pre-requisite Unit</w:t>
      </w:r>
    </w:p>
    <w:tbl>
      <w:tblPr>
        <w:tblW w:w="9497" w:type="dxa"/>
        <w:tblLayout w:type="fixed"/>
        <w:tblCellMar>
          <w:left w:w="62" w:type="dxa"/>
          <w:right w:w="62" w:type="dxa"/>
        </w:tblCellMar>
        <w:tblLook w:val="0000"/>
      </w:tblPr>
      <w:tblGrid>
        <w:gridCol w:w="9497"/>
      </w:tblGrid>
      <w:tr w:rsidTr="004A4EE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A4EEA" w:rsidP="004A4EEA">
            <w:pPr>
              <w:pStyle w:val="BodyText"/>
            </w:pPr>
            <w:r w:rsidRPr="004A4EEA">
              <w:t>Not applicable.</w:t>
            </w:r>
          </w:p>
        </w:tc>
      </w:tr>
    </w:tbl>
    <w:p w:rsidR="00000000" w:rsidRPr="004A4EEA" w:rsidP="004A4EEA">
      <w:pPr>
        <w:pStyle w:val="NoPaddingFontSize1"/>
      </w:pPr>
    </w:p>
    <w:p w:rsidR="00000000" w:rsidRPr="004A4EEA" w:rsidP="004A4EEA">
      <w:pPr>
        <w:pStyle w:val="AllowPageBreak"/>
      </w:pPr>
    </w:p>
    <w:p w:rsidR="00000000" w:rsidRPr="004A4EEA" w:rsidP="004A4EEA">
      <w:pPr>
        <w:pStyle w:val="Heading1"/>
      </w:pPr>
      <w:bookmarkStart w:id="4" w:name="O_1240599"/>
      <w:bookmarkEnd w:id="4"/>
      <w:r w:rsidRPr="004A4EEA">
        <w:t>Competency Field</w:t>
      </w:r>
    </w:p>
    <w:tbl>
      <w:tblPr>
        <w:tblW w:w="9497" w:type="dxa"/>
        <w:tblLayout w:type="fixed"/>
        <w:tblCellMar>
          <w:left w:w="62" w:type="dxa"/>
          <w:right w:w="62" w:type="dxa"/>
        </w:tblCellMar>
        <w:tblLook w:val="0000"/>
      </w:tblPr>
      <w:tblGrid>
        <w:gridCol w:w="9497"/>
      </w:tblGrid>
      <w:tr w:rsidTr="004A4EE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A4EEA" w:rsidP="004A4EEA">
            <w:pPr>
              <w:pStyle w:val="BodyText"/>
            </w:pPr>
            <w:r w:rsidRPr="004A4EEA">
              <w:t>F – Safety Management</w:t>
            </w:r>
          </w:p>
        </w:tc>
      </w:tr>
    </w:tbl>
    <w:p w:rsidR="00000000" w:rsidRPr="004A4EEA" w:rsidP="004A4EEA">
      <w:pPr>
        <w:pStyle w:val="NoPaddingFontSize1"/>
      </w:pPr>
    </w:p>
    <w:p w:rsidR="00000000" w:rsidRPr="004A4EEA" w:rsidP="004A4EEA">
      <w:pPr>
        <w:pStyle w:val="AllowPageBreak"/>
      </w:pPr>
    </w:p>
    <w:p w:rsidR="00000000" w:rsidRPr="004A4EEA" w:rsidP="004A4EEA">
      <w:pPr>
        <w:pStyle w:val="Heading1"/>
      </w:pPr>
      <w:bookmarkStart w:id="5" w:name="O_1240598"/>
      <w:bookmarkEnd w:id="5"/>
      <w:r w:rsidRPr="004A4EEA">
        <w:t>Unit Sector</w:t>
      </w:r>
    </w:p>
    <w:tbl>
      <w:tblPr>
        <w:tblW w:w="9497" w:type="dxa"/>
        <w:tblLayout w:type="fixed"/>
        <w:tblCellMar>
          <w:left w:w="62" w:type="dxa"/>
          <w:right w:w="62" w:type="dxa"/>
        </w:tblCellMar>
        <w:tblLook w:val="0000"/>
      </w:tblPr>
      <w:tblGrid>
        <w:gridCol w:w="9497"/>
      </w:tblGrid>
      <w:tr w:rsidTr="004A4EE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A4EEA" w:rsidP="004A4EEA">
            <w:pPr>
              <w:pStyle w:val="BodyText"/>
            </w:pPr>
            <w:r w:rsidRPr="004A4EEA">
              <w:t>Rail sector.</w:t>
            </w:r>
          </w:p>
        </w:tc>
      </w:tr>
    </w:tbl>
    <w:p w:rsidR="00000000" w:rsidRPr="004A4EEA" w:rsidP="004A4EEA">
      <w:pPr>
        <w:pStyle w:val="NoPaddingFontSize1"/>
      </w:pPr>
    </w:p>
    <w:p w:rsidR="00000000" w:rsidRPr="004A4EEA" w:rsidP="004A4EEA">
      <w:pPr>
        <w:pStyle w:val="AllowPageBreak"/>
      </w:pPr>
    </w:p>
    <w:p w:rsidR="00000000" w:rsidRPr="004A4EEA" w:rsidP="004A4EEA">
      <w:pPr>
        <w:pStyle w:val="Heading1"/>
      </w:pPr>
      <w:bookmarkStart w:id="6" w:name="O_1240597"/>
      <w:bookmarkEnd w:id="6"/>
      <w:r w:rsidRPr="004A4EEA">
        <w:t>Elements and Performance Criteria</w:t>
      </w:r>
    </w:p>
    <w:tbl>
      <w:tblPr>
        <w:tblW w:w="9497" w:type="dxa"/>
        <w:tblLayout w:type="fixed"/>
        <w:tblCellMar>
          <w:left w:w="62" w:type="dxa"/>
          <w:right w:w="62" w:type="dxa"/>
        </w:tblCellMar>
        <w:tblLook w:val="0000"/>
      </w:tblPr>
      <w:tblGrid>
        <w:gridCol w:w="715"/>
        <w:gridCol w:w="3109"/>
        <w:gridCol w:w="1372"/>
        <w:gridCol w:w="4301"/>
      </w:tblGrid>
      <w:tr w:rsidTr="004A4EEA">
        <w:tblPrEx>
          <w:tblW w:w="9497" w:type="dxa"/>
          <w:tblLayout w:type="fixed"/>
          <w:tblCellMar>
            <w:left w:w="62" w:type="dxa"/>
            <w:right w:w="62" w:type="dxa"/>
          </w:tblCellMar>
          <w:tblLook w:val="0000"/>
        </w:tblPrEx>
        <w:tc>
          <w:tcPr>
            <w:tcW w:w="3824" w:type="dxa"/>
            <w:gridSpan w:val="2"/>
            <w:tcBorders>
              <w:top w:val="nil"/>
              <w:left w:val="nil"/>
              <w:bottom w:val="nil"/>
              <w:right w:val="nil"/>
            </w:tcBorders>
            <w:tcMar>
              <w:top w:w="0" w:type="dxa"/>
              <w:left w:w="62" w:type="dxa"/>
              <w:bottom w:w="0" w:type="dxa"/>
              <w:right w:w="62" w:type="dxa"/>
            </w:tcMar>
          </w:tcPr>
          <w:p w:rsidR="00000000" w:rsidP="004A4EEA">
            <w:pPr>
              <w:pStyle w:val="BodyText"/>
              <w:rPr>
                <w:lang w:val="en-NZ"/>
              </w:rPr>
            </w:pPr>
            <w:r w:rsidRPr="004A4EEA">
              <w:t>Elements describe the essential outcomes.</w:t>
            </w:r>
          </w:p>
        </w:tc>
        <w:tc>
          <w:tcPr>
            <w:tcW w:w="5673" w:type="dxa"/>
            <w:gridSpan w:val="2"/>
            <w:tcBorders>
              <w:top w:val="nil"/>
              <w:left w:val="nil"/>
              <w:bottom w:val="nil"/>
              <w:right w:val="nil"/>
            </w:tcBorders>
            <w:tcMar>
              <w:top w:w="0" w:type="dxa"/>
              <w:left w:w="62" w:type="dxa"/>
              <w:bottom w:w="0" w:type="dxa"/>
              <w:right w:w="62" w:type="dxa"/>
            </w:tcMar>
          </w:tcPr>
          <w:p w:rsidR="00000000" w:rsidP="004A4EEA">
            <w:pPr>
              <w:pStyle w:val="BodyText"/>
              <w:rPr>
                <w:lang w:val="en-NZ"/>
              </w:rPr>
            </w:pPr>
            <w:r w:rsidRPr="004A4EEA">
              <w:t>Performance criteria describe the performance needed to demonstrate achievement of the element.</w:t>
            </w:r>
          </w:p>
        </w:tc>
      </w:tr>
      <w:tr w:rsidTr="004A4EEA">
        <w:tblPrEx>
          <w:tblW w:w="9497" w:type="dxa"/>
          <w:tblLayout w:type="fixed"/>
          <w:tblCellMar>
            <w:left w:w="62" w:type="dxa"/>
            <w:right w:w="62" w:type="dxa"/>
          </w:tblCellMar>
          <w:tblLook w:val="0000"/>
        </w:tblPrEx>
        <w:tc>
          <w:tcPr>
            <w:tcW w:w="715" w:type="dxa"/>
            <w:tcBorders>
              <w:top w:val="nil"/>
              <w:left w:val="nil"/>
              <w:bottom w:val="nil"/>
              <w:right w:val="nil"/>
            </w:tcBorders>
            <w:tcMar>
              <w:top w:w="0" w:type="dxa"/>
              <w:left w:w="62" w:type="dxa"/>
              <w:bottom w:w="0" w:type="dxa"/>
              <w:right w:w="62" w:type="dxa"/>
            </w:tcMar>
          </w:tcPr>
          <w:p w:rsidR="00000000" w:rsidRPr="004A4EEA" w:rsidP="004A4EEA">
            <w:pPr>
              <w:pStyle w:val="BodyText"/>
            </w:pPr>
            <w:r w:rsidRPr="004A4EEA">
              <w:rPr>
                <w:rStyle w:val="SpecialBold"/>
              </w:rPr>
              <w:t>1</w:t>
            </w:r>
          </w:p>
        </w:tc>
        <w:tc>
          <w:tcPr>
            <w:tcW w:w="3109" w:type="dxa"/>
            <w:tcBorders>
              <w:top w:val="nil"/>
              <w:left w:val="nil"/>
              <w:bottom w:val="nil"/>
              <w:right w:val="nil"/>
            </w:tcBorders>
            <w:tcMar>
              <w:top w:w="0" w:type="dxa"/>
              <w:left w:w="62" w:type="dxa"/>
              <w:bottom w:w="0" w:type="dxa"/>
              <w:right w:w="62" w:type="dxa"/>
            </w:tcMar>
          </w:tcPr>
          <w:p w:rsidR="00000000" w:rsidRPr="004A4EEA" w:rsidP="004A4EEA">
            <w:pPr>
              <w:pStyle w:val="BodyText"/>
            </w:pPr>
            <w:r w:rsidRPr="004A4EEA">
              <w:rPr>
                <w:rStyle w:val="SpecialBold"/>
              </w:rPr>
              <w:t>Establish rail regulatory requirements</w:t>
            </w:r>
          </w:p>
        </w:tc>
        <w:tc>
          <w:tcPr>
            <w:tcW w:w="1372" w:type="dxa"/>
            <w:tcBorders>
              <w:top w:val="nil"/>
              <w:left w:val="nil"/>
              <w:bottom w:val="nil"/>
              <w:right w:val="nil"/>
            </w:tcBorders>
            <w:tcMar>
              <w:top w:w="0" w:type="dxa"/>
              <w:left w:w="62" w:type="dxa"/>
              <w:bottom w:w="0" w:type="dxa"/>
              <w:right w:w="62" w:type="dxa"/>
            </w:tcMar>
          </w:tcPr>
          <w:p w:rsidR="00000000" w:rsidP="004A4EEA">
            <w:pPr>
              <w:pStyle w:val="BodyText"/>
              <w:rPr>
                <w:lang w:val="en-NZ"/>
              </w:rPr>
            </w:pPr>
            <w:r w:rsidRPr="004A4EEA">
              <w:rPr>
                <w:rStyle w:val="SpecialBold"/>
              </w:rPr>
              <w:t>1.1</w:t>
            </w:r>
          </w:p>
        </w:tc>
        <w:tc>
          <w:tcPr>
            <w:tcW w:w="4301" w:type="dxa"/>
            <w:tcBorders>
              <w:top w:val="nil"/>
              <w:left w:val="nil"/>
              <w:bottom w:val="nil"/>
              <w:right w:val="nil"/>
            </w:tcBorders>
            <w:tcMar>
              <w:top w:w="0" w:type="dxa"/>
              <w:left w:w="62" w:type="dxa"/>
              <w:bottom w:w="0" w:type="dxa"/>
              <w:right w:w="62" w:type="dxa"/>
            </w:tcMar>
          </w:tcPr>
          <w:p w:rsidR="00000000" w:rsidP="004A4EEA">
            <w:pPr>
              <w:pStyle w:val="BodyText"/>
              <w:rPr>
                <w:lang w:val="en-NZ"/>
              </w:rPr>
            </w:pPr>
            <w:r w:rsidRPr="004A4EEA">
              <w:t>Legislation applicable to organisational railway operations is confirmed</w:t>
            </w:r>
          </w:p>
        </w:tc>
      </w:tr>
      <w:tr w:rsidTr="004A4EEA">
        <w:tblPrEx>
          <w:tblW w:w="9497" w:type="dxa"/>
          <w:tblLayout w:type="fixed"/>
          <w:tblCellMar>
            <w:left w:w="62" w:type="dxa"/>
            <w:right w:w="62" w:type="dxa"/>
          </w:tblCellMar>
          <w:tblLook w:val="0000"/>
        </w:tblPrEx>
        <w:tc>
          <w:tcPr>
            <w:tcW w:w="71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109" w:type="dxa"/>
            <w:tcBorders>
              <w:top w:val="nil"/>
              <w:left w:val="nil"/>
              <w:bottom w:val="nil"/>
              <w:right w:val="nil"/>
            </w:tcBorders>
            <w:tcMar>
              <w:top w:w="0" w:type="dxa"/>
              <w:left w:w="62" w:type="dxa"/>
              <w:bottom w:w="0" w:type="dxa"/>
              <w:right w:w="62" w:type="dxa"/>
            </w:tcMar>
          </w:tcPr>
          <w:p w:rsidR="00000000" w:rsidRPr="004A4EEA">
            <w:pPr>
              <w:pStyle w:val="BodyText"/>
              <w:keepLines w:val="0"/>
              <w:spacing w:before="0" w:after="0"/>
            </w:pPr>
          </w:p>
        </w:tc>
        <w:tc>
          <w:tcPr>
            <w:tcW w:w="1372" w:type="dxa"/>
            <w:tcBorders>
              <w:top w:val="nil"/>
              <w:left w:val="nil"/>
              <w:bottom w:val="nil"/>
              <w:right w:val="nil"/>
            </w:tcBorders>
            <w:tcMar>
              <w:top w:w="0" w:type="dxa"/>
              <w:left w:w="62" w:type="dxa"/>
              <w:bottom w:w="0" w:type="dxa"/>
              <w:right w:w="62" w:type="dxa"/>
            </w:tcMar>
          </w:tcPr>
          <w:p w:rsidR="00000000" w:rsidP="004A4EEA">
            <w:pPr>
              <w:pStyle w:val="BodyText"/>
              <w:rPr>
                <w:lang w:val="en-NZ"/>
              </w:rPr>
            </w:pPr>
            <w:r w:rsidRPr="004A4EEA">
              <w:rPr>
                <w:rStyle w:val="SpecialBold"/>
              </w:rPr>
              <w:t>1.2</w:t>
            </w:r>
          </w:p>
        </w:tc>
        <w:tc>
          <w:tcPr>
            <w:tcW w:w="4301" w:type="dxa"/>
            <w:tcBorders>
              <w:top w:val="nil"/>
              <w:left w:val="nil"/>
              <w:bottom w:val="nil"/>
              <w:right w:val="nil"/>
            </w:tcBorders>
            <w:tcMar>
              <w:top w:w="0" w:type="dxa"/>
              <w:left w:w="62" w:type="dxa"/>
              <w:bottom w:w="0" w:type="dxa"/>
              <w:right w:w="62" w:type="dxa"/>
            </w:tcMar>
          </w:tcPr>
          <w:p w:rsidR="00000000" w:rsidP="004A4EEA">
            <w:pPr>
              <w:pStyle w:val="BodyText"/>
              <w:rPr>
                <w:lang w:val="en-NZ"/>
              </w:rPr>
            </w:pPr>
            <w:r w:rsidRPr="004A4EEA">
              <w:t>Issues relating to rail safety regulation are determined in accordance with legislation, and the impact of these issues on railway operations and management, rail safety and sy</w:t>
            </w:r>
            <w:r w:rsidRPr="004A4EEA">
              <w:t>stems interfaces is identified</w:t>
            </w:r>
          </w:p>
        </w:tc>
      </w:tr>
      <w:tr w:rsidTr="004A4EEA">
        <w:tblPrEx>
          <w:tblW w:w="9497" w:type="dxa"/>
          <w:tblLayout w:type="fixed"/>
          <w:tblCellMar>
            <w:left w:w="62" w:type="dxa"/>
            <w:right w:w="62" w:type="dxa"/>
          </w:tblCellMar>
          <w:tblLook w:val="0000"/>
        </w:tblPrEx>
        <w:tc>
          <w:tcPr>
            <w:tcW w:w="715" w:type="dxa"/>
            <w:tcBorders>
              <w:top w:val="nil"/>
              <w:left w:val="nil"/>
              <w:bottom w:val="nil"/>
              <w:right w:val="nil"/>
            </w:tcBorders>
            <w:tcMar>
              <w:top w:w="0" w:type="dxa"/>
              <w:left w:w="62" w:type="dxa"/>
              <w:bottom w:w="0" w:type="dxa"/>
              <w:right w:w="62" w:type="dxa"/>
            </w:tcMar>
          </w:tcPr>
          <w:p w:rsidR="00000000" w:rsidRPr="004A4EEA" w:rsidP="004A4EEA">
            <w:pPr>
              <w:pStyle w:val="BodyText"/>
            </w:pPr>
            <w:r w:rsidRPr="004A4EEA">
              <w:rPr>
                <w:rStyle w:val="SpecialBold"/>
              </w:rPr>
              <w:t>2</w:t>
            </w:r>
          </w:p>
        </w:tc>
        <w:tc>
          <w:tcPr>
            <w:tcW w:w="3109" w:type="dxa"/>
            <w:tcBorders>
              <w:top w:val="nil"/>
              <w:left w:val="nil"/>
              <w:bottom w:val="nil"/>
              <w:right w:val="nil"/>
            </w:tcBorders>
            <w:tcMar>
              <w:top w:w="0" w:type="dxa"/>
              <w:left w:w="62" w:type="dxa"/>
              <w:bottom w:w="0" w:type="dxa"/>
              <w:right w:w="62" w:type="dxa"/>
            </w:tcMar>
          </w:tcPr>
          <w:p w:rsidR="00000000" w:rsidRPr="004A4EEA" w:rsidP="004A4EEA">
            <w:pPr>
              <w:pStyle w:val="BodyText"/>
            </w:pPr>
            <w:r w:rsidRPr="004A4EEA">
              <w:rPr>
                <w:rStyle w:val="SpecialBold"/>
              </w:rPr>
              <w:t>Maintain currency in regulatory requirements</w:t>
            </w:r>
          </w:p>
        </w:tc>
        <w:tc>
          <w:tcPr>
            <w:tcW w:w="1372" w:type="dxa"/>
            <w:tcBorders>
              <w:top w:val="nil"/>
              <w:left w:val="nil"/>
              <w:bottom w:val="nil"/>
              <w:right w:val="nil"/>
            </w:tcBorders>
            <w:tcMar>
              <w:top w:w="0" w:type="dxa"/>
              <w:left w:w="62" w:type="dxa"/>
              <w:bottom w:w="0" w:type="dxa"/>
              <w:right w:w="62" w:type="dxa"/>
            </w:tcMar>
          </w:tcPr>
          <w:p w:rsidR="00000000" w:rsidP="004A4EEA">
            <w:pPr>
              <w:pStyle w:val="BodyText"/>
              <w:rPr>
                <w:lang w:val="en-NZ"/>
              </w:rPr>
            </w:pPr>
            <w:r w:rsidRPr="004A4EEA">
              <w:rPr>
                <w:rStyle w:val="SpecialBold"/>
              </w:rPr>
              <w:t>2.1</w:t>
            </w:r>
          </w:p>
        </w:tc>
        <w:tc>
          <w:tcPr>
            <w:tcW w:w="4301" w:type="dxa"/>
            <w:tcBorders>
              <w:top w:val="nil"/>
              <w:left w:val="nil"/>
              <w:bottom w:val="nil"/>
              <w:right w:val="nil"/>
            </w:tcBorders>
            <w:tcMar>
              <w:top w:w="0" w:type="dxa"/>
              <w:left w:w="62" w:type="dxa"/>
              <w:bottom w:w="0" w:type="dxa"/>
              <w:right w:w="62" w:type="dxa"/>
            </w:tcMar>
          </w:tcPr>
          <w:p w:rsidR="00000000" w:rsidP="004A4EEA">
            <w:pPr>
              <w:pStyle w:val="BodyText"/>
              <w:rPr>
                <w:lang w:val="en-NZ"/>
              </w:rPr>
            </w:pPr>
            <w:r w:rsidRPr="004A4EEA">
              <w:t>Changes in safety regulation are monitored and the implications of these changes for rail industry operations and technology are identified</w:t>
            </w:r>
          </w:p>
        </w:tc>
      </w:tr>
      <w:tr w:rsidTr="004A4EEA">
        <w:tblPrEx>
          <w:tblW w:w="9497" w:type="dxa"/>
          <w:tblLayout w:type="fixed"/>
          <w:tblCellMar>
            <w:left w:w="62" w:type="dxa"/>
            <w:right w:w="62" w:type="dxa"/>
          </w:tblCellMar>
          <w:tblLook w:val="0000"/>
        </w:tblPrEx>
        <w:tc>
          <w:tcPr>
            <w:tcW w:w="71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109" w:type="dxa"/>
            <w:tcBorders>
              <w:top w:val="nil"/>
              <w:left w:val="nil"/>
              <w:bottom w:val="nil"/>
              <w:right w:val="nil"/>
            </w:tcBorders>
            <w:tcMar>
              <w:top w:w="0" w:type="dxa"/>
              <w:left w:w="62" w:type="dxa"/>
              <w:bottom w:w="0" w:type="dxa"/>
              <w:right w:w="62" w:type="dxa"/>
            </w:tcMar>
          </w:tcPr>
          <w:p w:rsidR="00000000" w:rsidRPr="004A4EEA">
            <w:pPr>
              <w:pStyle w:val="BodyText"/>
              <w:keepLines w:val="0"/>
              <w:spacing w:before="0" w:after="0"/>
            </w:pPr>
          </w:p>
        </w:tc>
        <w:tc>
          <w:tcPr>
            <w:tcW w:w="1372" w:type="dxa"/>
            <w:tcBorders>
              <w:top w:val="nil"/>
              <w:left w:val="nil"/>
              <w:bottom w:val="nil"/>
              <w:right w:val="nil"/>
            </w:tcBorders>
            <w:tcMar>
              <w:top w:w="0" w:type="dxa"/>
              <w:left w:w="62" w:type="dxa"/>
              <w:bottom w:w="0" w:type="dxa"/>
              <w:right w:w="62" w:type="dxa"/>
            </w:tcMar>
          </w:tcPr>
          <w:p w:rsidR="00000000" w:rsidP="004A4EEA">
            <w:pPr>
              <w:pStyle w:val="BodyText"/>
              <w:rPr>
                <w:lang w:val="en-NZ"/>
              </w:rPr>
            </w:pPr>
            <w:r w:rsidRPr="004A4EEA">
              <w:rPr>
                <w:rStyle w:val="SpecialBold"/>
              </w:rPr>
              <w:t>2.2</w:t>
            </w:r>
          </w:p>
        </w:tc>
        <w:tc>
          <w:tcPr>
            <w:tcW w:w="4301" w:type="dxa"/>
            <w:tcBorders>
              <w:top w:val="nil"/>
              <w:left w:val="nil"/>
              <w:bottom w:val="nil"/>
              <w:right w:val="nil"/>
            </w:tcBorders>
            <w:tcMar>
              <w:top w:w="0" w:type="dxa"/>
              <w:left w:w="62" w:type="dxa"/>
              <w:bottom w:w="0" w:type="dxa"/>
              <w:right w:w="62" w:type="dxa"/>
            </w:tcMar>
          </w:tcPr>
          <w:p w:rsidR="00000000" w:rsidP="004A4EEA">
            <w:pPr>
              <w:pStyle w:val="BodyText"/>
              <w:rPr>
                <w:lang w:val="en-NZ"/>
              </w:rPr>
            </w:pPr>
            <w:r w:rsidRPr="004A4EEA">
              <w:t>Changes in rail safety regulatory requirements are monitored and available information, training and awareness sessions are accessed to maintain knowledge and skill base</w:t>
            </w:r>
          </w:p>
        </w:tc>
      </w:tr>
      <w:tr w:rsidTr="004A4EEA">
        <w:tblPrEx>
          <w:tblW w:w="9497" w:type="dxa"/>
          <w:tblLayout w:type="fixed"/>
          <w:tblCellMar>
            <w:left w:w="62" w:type="dxa"/>
            <w:right w:w="62" w:type="dxa"/>
          </w:tblCellMar>
          <w:tblLook w:val="0000"/>
        </w:tblPrEx>
        <w:tc>
          <w:tcPr>
            <w:tcW w:w="71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109" w:type="dxa"/>
            <w:tcBorders>
              <w:top w:val="nil"/>
              <w:left w:val="nil"/>
              <w:bottom w:val="nil"/>
              <w:right w:val="nil"/>
            </w:tcBorders>
            <w:tcMar>
              <w:top w:w="0" w:type="dxa"/>
              <w:left w:w="62" w:type="dxa"/>
              <w:bottom w:w="0" w:type="dxa"/>
              <w:right w:w="62" w:type="dxa"/>
            </w:tcMar>
          </w:tcPr>
          <w:p w:rsidR="00000000" w:rsidRPr="004A4EEA">
            <w:pPr>
              <w:pStyle w:val="BodyText"/>
              <w:keepLines w:val="0"/>
              <w:spacing w:before="0" w:after="0"/>
            </w:pPr>
          </w:p>
        </w:tc>
        <w:tc>
          <w:tcPr>
            <w:tcW w:w="1372" w:type="dxa"/>
            <w:tcBorders>
              <w:top w:val="nil"/>
              <w:left w:val="nil"/>
              <w:bottom w:val="nil"/>
              <w:right w:val="nil"/>
            </w:tcBorders>
            <w:tcMar>
              <w:top w:w="0" w:type="dxa"/>
              <w:left w:w="62" w:type="dxa"/>
              <w:bottom w:w="0" w:type="dxa"/>
              <w:right w:w="62" w:type="dxa"/>
            </w:tcMar>
          </w:tcPr>
          <w:p w:rsidR="00000000" w:rsidP="004A4EEA">
            <w:pPr>
              <w:pStyle w:val="BodyText"/>
              <w:rPr>
                <w:lang w:val="en-NZ"/>
              </w:rPr>
            </w:pPr>
            <w:r w:rsidRPr="004A4EEA">
              <w:rPr>
                <w:rStyle w:val="SpecialBold"/>
              </w:rPr>
              <w:t>2.3</w:t>
            </w:r>
          </w:p>
        </w:tc>
        <w:tc>
          <w:tcPr>
            <w:tcW w:w="4301" w:type="dxa"/>
            <w:tcBorders>
              <w:top w:val="nil"/>
              <w:left w:val="nil"/>
              <w:bottom w:val="nil"/>
              <w:right w:val="nil"/>
            </w:tcBorders>
            <w:tcMar>
              <w:top w:w="0" w:type="dxa"/>
              <w:left w:w="62" w:type="dxa"/>
              <w:bottom w:w="0" w:type="dxa"/>
              <w:right w:w="62" w:type="dxa"/>
            </w:tcMar>
          </w:tcPr>
          <w:p w:rsidR="00000000" w:rsidP="004A4EEA">
            <w:pPr>
              <w:pStyle w:val="BodyText"/>
              <w:rPr>
                <w:lang w:val="en-NZ"/>
              </w:rPr>
            </w:pPr>
            <w:r w:rsidRPr="004A4EEA">
              <w:t xml:space="preserve">Regular contact and information exchange with appropriate personnel within the </w:t>
            </w:r>
            <w:r w:rsidRPr="004A4EEA">
              <w:t>railway organisation are undertaken to ensure compliance with regulatory requirements</w:t>
            </w:r>
          </w:p>
        </w:tc>
      </w:tr>
      <w:tr w:rsidTr="004A4EEA">
        <w:tblPrEx>
          <w:tblW w:w="9497" w:type="dxa"/>
          <w:tblLayout w:type="fixed"/>
          <w:tblCellMar>
            <w:left w:w="62" w:type="dxa"/>
            <w:right w:w="62" w:type="dxa"/>
          </w:tblCellMar>
          <w:tblLook w:val="0000"/>
        </w:tblPrEx>
        <w:tc>
          <w:tcPr>
            <w:tcW w:w="715" w:type="dxa"/>
            <w:tcBorders>
              <w:top w:val="nil"/>
              <w:left w:val="nil"/>
              <w:bottom w:val="nil"/>
              <w:right w:val="nil"/>
            </w:tcBorders>
            <w:tcMar>
              <w:top w:w="0" w:type="dxa"/>
              <w:left w:w="62" w:type="dxa"/>
              <w:bottom w:w="0" w:type="dxa"/>
              <w:right w:w="62" w:type="dxa"/>
            </w:tcMar>
          </w:tcPr>
          <w:p w:rsidR="00000000" w:rsidRPr="004A4EEA" w:rsidP="004A4EEA">
            <w:pPr>
              <w:pStyle w:val="BodyText"/>
            </w:pPr>
            <w:r w:rsidRPr="004A4EEA">
              <w:rPr>
                <w:rStyle w:val="SpecialBold"/>
              </w:rPr>
              <w:t>3</w:t>
            </w:r>
          </w:p>
        </w:tc>
        <w:tc>
          <w:tcPr>
            <w:tcW w:w="3109" w:type="dxa"/>
            <w:tcBorders>
              <w:top w:val="nil"/>
              <w:left w:val="nil"/>
              <w:bottom w:val="nil"/>
              <w:right w:val="nil"/>
            </w:tcBorders>
            <w:tcMar>
              <w:top w:w="0" w:type="dxa"/>
              <w:left w:w="62" w:type="dxa"/>
              <w:bottom w:w="0" w:type="dxa"/>
              <w:right w:w="62" w:type="dxa"/>
            </w:tcMar>
          </w:tcPr>
          <w:p w:rsidR="00000000" w:rsidRPr="004A4EEA" w:rsidP="004A4EEA">
            <w:pPr>
              <w:pStyle w:val="BodyText"/>
            </w:pPr>
            <w:r w:rsidRPr="004A4EEA">
              <w:rPr>
                <w:rStyle w:val="SpecialBold"/>
              </w:rPr>
              <w:t>Apply knowledge of rail regulatory requirements</w:t>
            </w:r>
          </w:p>
        </w:tc>
        <w:tc>
          <w:tcPr>
            <w:tcW w:w="1372" w:type="dxa"/>
            <w:tcBorders>
              <w:top w:val="nil"/>
              <w:left w:val="nil"/>
              <w:bottom w:val="nil"/>
              <w:right w:val="nil"/>
            </w:tcBorders>
            <w:tcMar>
              <w:top w:w="0" w:type="dxa"/>
              <w:left w:w="62" w:type="dxa"/>
              <w:bottom w:w="0" w:type="dxa"/>
              <w:right w:w="62" w:type="dxa"/>
            </w:tcMar>
          </w:tcPr>
          <w:p w:rsidR="00000000" w:rsidP="004A4EEA">
            <w:pPr>
              <w:pStyle w:val="BodyText"/>
              <w:rPr>
                <w:lang w:val="en-NZ"/>
              </w:rPr>
            </w:pPr>
            <w:r w:rsidRPr="004A4EEA">
              <w:rPr>
                <w:rStyle w:val="SpecialBold"/>
              </w:rPr>
              <w:t>3.1</w:t>
            </w:r>
          </w:p>
        </w:tc>
        <w:tc>
          <w:tcPr>
            <w:tcW w:w="4301" w:type="dxa"/>
            <w:tcBorders>
              <w:top w:val="nil"/>
              <w:left w:val="nil"/>
              <w:bottom w:val="nil"/>
              <w:right w:val="nil"/>
            </w:tcBorders>
            <w:tcMar>
              <w:top w:w="0" w:type="dxa"/>
              <w:left w:w="62" w:type="dxa"/>
              <w:bottom w:w="0" w:type="dxa"/>
              <w:right w:w="62" w:type="dxa"/>
            </w:tcMar>
          </w:tcPr>
          <w:p w:rsidR="00000000" w:rsidP="004A4EEA">
            <w:pPr>
              <w:pStyle w:val="BodyText"/>
              <w:rPr>
                <w:lang w:val="en-NZ"/>
              </w:rPr>
            </w:pPr>
            <w:r w:rsidRPr="004A4EEA">
              <w:t>Rail safety operating principles are identified and confirmed</w:t>
            </w:r>
          </w:p>
        </w:tc>
      </w:tr>
      <w:tr w:rsidTr="004A4EEA">
        <w:tblPrEx>
          <w:tblW w:w="9497" w:type="dxa"/>
          <w:tblLayout w:type="fixed"/>
          <w:tblCellMar>
            <w:left w:w="62" w:type="dxa"/>
            <w:right w:w="62" w:type="dxa"/>
          </w:tblCellMar>
          <w:tblLook w:val="0000"/>
        </w:tblPrEx>
        <w:tc>
          <w:tcPr>
            <w:tcW w:w="71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109" w:type="dxa"/>
            <w:tcBorders>
              <w:top w:val="nil"/>
              <w:left w:val="nil"/>
              <w:bottom w:val="nil"/>
              <w:right w:val="nil"/>
            </w:tcBorders>
            <w:tcMar>
              <w:top w:w="0" w:type="dxa"/>
              <w:left w:w="62" w:type="dxa"/>
              <w:bottom w:w="0" w:type="dxa"/>
              <w:right w:w="62" w:type="dxa"/>
            </w:tcMar>
          </w:tcPr>
          <w:p w:rsidR="00000000" w:rsidRPr="004A4EEA">
            <w:pPr>
              <w:pStyle w:val="BodyText"/>
              <w:keepLines w:val="0"/>
              <w:spacing w:before="0" w:after="0"/>
            </w:pPr>
          </w:p>
        </w:tc>
        <w:tc>
          <w:tcPr>
            <w:tcW w:w="1372" w:type="dxa"/>
            <w:tcBorders>
              <w:top w:val="nil"/>
              <w:left w:val="nil"/>
              <w:bottom w:val="nil"/>
              <w:right w:val="nil"/>
            </w:tcBorders>
            <w:tcMar>
              <w:top w:w="0" w:type="dxa"/>
              <w:left w:w="62" w:type="dxa"/>
              <w:bottom w:w="0" w:type="dxa"/>
              <w:right w:w="62" w:type="dxa"/>
            </w:tcMar>
          </w:tcPr>
          <w:p w:rsidR="00000000" w:rsidP="004A4EEA">
            <w:pPr>
              <w:pStyle w:val="BodyText"/>
              <w:rPr>
                <w:lang w:val="en-NZ"/>
              </w:rPr>
            </w:pPr>
            <w:r w:rsidRPr="004A4EEA">
              <w:rPr>
                <w:rStyle w:val="SpecialBold"/>
              </w:rPr>
              <w:t>3.2</w:t>
            </w:r>
          </w:p>
        </w:tc>
        <w:tc>
          <w:tcPr>
            <w:tcW w:w="4301" w:type="dxa"/>
            <w:tcBorders>
              <w:top w:val="nil"/>
              <w:left w:val="nil"/>
              <w:bottom w:val="nil"/>
              <w:right w:val="nil"/>
            </w:tcBorders>
            <w:tcMar>
              <w:top w:w="0" w:type="dxa"/>
              <w:left w:w="62" w:type="dxa"/>
              <w:bottom w:w="0" w:type="dxa"/>
              <w:right w:w="62" w:type="dxa"/>
            </w:tcMar>
          </w:tcPr>
          <w:p w:rsidR="00000000" w:rsidP="004A4EEA">
            <w:pPr>
              <w:pStyle w:val="BodyText"/>
              <w:rPr>
                <w:lang w:val="en-NZ"/>
              </w:rPr>
            </w:pPr>
            <w:r w:rsidRPr="004A4EEA">
              <w:t>Applicable current national and international standards, codes and local rules are identified and the relevance of these rules to rail safety regulation is confirmed</w:t>
            </w:r>
          </w:p>
        </w:tc>
      </w:tr>
      <w:tr w:rsidTr="004A4EEA">
        <w:tblPrEx>
          <w:tblW w:w="9497" w:type="dxa"/>
          <w:tblLayout w:type="fixed"/>
          <w:tblCellMar>
            <w:left w:w="62" w:type="dxa"/>
            <w:right w:w="62" w:type="dxa"/>
          </w:tblCellMar>
          <w:tblLook w:val="0000"/>
        </w:tblPrEx>
        <w:tc>
          <w:tcPr>
            <w:tcW w:w="71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109" w:type="dxa"/>
            <w:tcBorders>
              <w:top w:val="nil"/>
              <w:left w:val="nil"/>
              <w:bottom w:val="nil"/>
              <w:right w:val="nil"/>
            </w:tcBorders>
            <w:tcMar>
              <w:top w:w="0" w:type="dxa"/>
              <w:left w:w="62" w:type="dxa"/>
              <w:bottom w:w="0" w:type="dxa"/>
              <w:right w:w="62" w:type="dxa"/>
            </w:tcMar>
          </w:tcPr>
          <w:p w:rsidR="00000000" w:rsidRPr="004A4EEA">
            <w:pPr>
              <w:pStyle w:val="BodyText"/>
              <w:keepLines w:val="0"/>
              <w:spacing w:before="0" w:after="0"/>
            </w:pPr>
          </w:p>
        </w:tc>
        <w:tc>
          <w:tcPr>
            <w:tcW w:w="1372" w:type="dxa"/>
            <w:tcBorders>
              <w:top w:val="nil"/>
              <w:left w:val="nil"/>
              <w:bottom w:val="nil"/>
              <w:right w:val="nil"/>
            </w:tcBorders>
            <w:tcMar>
              <w:top w:w="0" w:type="dxa"/>
              <w:left w:w="62" w:type="dxa"/>
              <w:bottom w:w="0" w:type="dxa"/>
              <w:right w:w="62" w:type="dxa"/>
            </w:tcMar>
          </w:tcPr>
          <w:p w:rsidR="00000000" w:rsidP="004A4EEA">
            <w:pPr>
              <w:pStyle w:val="BodyText"/>
              <w:rPr>
                <w:lang w:val="en-NZ"/>
              </w:rPr>
            </w:pPr>
            <w:r w:rsidRPr="004A4EEA">
              <w:rPr>
                <w:rStyle w:val="SpecialBold"/>
              </w:rPr>
              <w:t>3.3</w:t>
            </w:r>
          </w:p>
        </w:tc>
        <w:tc>
          <w:tcPr>
            <w:tcW w:w="4301" w:type="dxa"/>
            <w:tcBorders>
              <w:top w:val="nil"/>
              <w:left w:val="nil"/>
              <w:bottom w:val="nil"/>
              <w:right w:val="nil"/>
            </w:tcBorders>
            <w:tcMar>
              <w:top w:w="0" w:type="dxa"/>
              <w:left w:w="62" w:type="dxa"/>
              <w:bottom w:w="0" w:type="dxa"/>
              <w:right w:w="62" w:type="dxa"/>
            </w:tcMar>
          </w:tcPr>
          <w:p w:rsidR="00000000" w:rsidP="004A4EEA">
            <w:pPr>
              <w:pStyle w:val="BodyText"/>
              <w:rPr>
                <w:lang w:val="en-NZ"/>
              </w:rPr>
            </w:pPr>
            <w:r w:rsidRPr="004A4EEA">
              <w:t>Accreditation requirements and/or conditions applicable to organisational railway operations are identified</w:t>
            </w:r>
          </w:p>
        </w:tc>
      </w:tr>
      <w:tr w:rsidTr="004A4EEA">
        <w:tblPrEx>
          <w:tblW w:w="9497" w:type="dxa"/>
          <w:tblLayout w:type="fixed"/>
          <w:tblCellMar>
            <w:left w:w="62" w:type="dxa"/>
            <w:right w:w="62" w:type="dxa"/>
          </w:tblCellMar>
          <w:tblLook w:val="0000"/>
        </w:tblPrEx>
        <w:tc>
          <w:tcPr>
            <w:tcW w:w="71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109" w:type="dxa"/>
            <w:tcBorders>
              <w:top w:val="nil"/>
              <w:left w:val="nil"/>
              <w:bottom w:val="nil"/>
              <w:right w:val="nil"/>
            </w:tcBorders>
            <w:tcMar>
              <w:top w:w="0" w:type="dxa"/>
              <w:left w:w="62" w:type="dxa"/>
              <w:bottom w:w="0" w:type="dxa"/>
              <w:right w:w="62" w:type="dxa"/>
            </w:tcMar>
          </w:tcPr>
          <w:p w:rsidR="00000000" w:rsidRPr="004A4EEA">
            <w:pPr>
              <w:pStyle w:val="BodyText"/>
              <w:keepLines w:val="0"/>
              <w:spacing w:before="0" w:after="0"/>
            </w:pPr>
          </w:p>
        </w:tc>
        <w:tc>
          <w:tcPr>
            <w:tcW w:w="1372" w:type="dxa"/>
            <w:tcBorders>
              <w:top w:val="nil"/>
              <w:left w:val="nil"/>
              <w:bottom w:val="nil"/>
              <w:right w:val="nil"/>
            </w:tcBorders>
            <w:tcMar>
              <w:top w:w="0" w:type="dxa"/>
              <w:left w:w="62" w:type="dxa"/>
              <w:bottom w:w="0" w:type="dxa"/>
              <w:right w:w="62" w:type="dxa"/>
            </w:tcMar>
          </w:tcPr>
          <w:p w:rsidR="00000000" w:rsidP="004A4EEA">
            <w:pPr>
              <w:pStyle w:val="BodyText"/>
              <w:rPr>
                <w:lang w:val="en-NZ"/>
              </w:rPr>
            </w:pPr>
            <w:r w:rsidRPr="004A4EEA">
              <w:rPr>
                <w:rStyle w:val="SpecialBold"/>
              </w:rPr>
              <w:t>3.4</w:t>
            </w:r>
          </w:p>
        </w:tc>
        <w:tc>
          <w:tcPr>
            <w:tcW w:w="4301" w:type="dxa"/>
            <w:tcBorders>
              <w:top w:val="nil"/>
              <w:left w:val="nil"/>
              <w:bottom w:val="nil"/>
              <w:right w:val="nil"/>
            </w:tcBorders>
            <w:tcMar>
              <w:top w:w="0" w:type="dxa"/>
              <w:left w:w="62" w:type="dxa"/>
              <w:bottom w:w="0" w:type="dxa"/>
              <w:right w:w="62" w:type="dxa"/>
            </w:tcMar>
          </w:tcPr>
          <w:p w:rsidR="00000000" w:rsidP="004A4EEA">
            <w:pPr>
              <w:pStyle w:val="BodyText"/>
              <w:rPr>
                <w:lang w:val="en-NZ"/>
              </w:rPr>
            </w:pPr>
            <w:r w:rsidRPr="004A4EEA">
              <w:t>Requirements of rail network standards applicable to organisational railway operations are identified in the context of safety management sys</w:t>
            </w:r>
            <w:r w:rsidRPr="004A4EEA">
              <w:t>tems and risk management</w:t>
            </w:r>
          </w:p>
        </w:tc>
      </w:tr>
      <w:tr w:rsidTr="004A4EEA">
        <w:tblPrEx>
          <w:tblW w:w="9497" w:type="dxa"/>
          <w:tblLayout w:type="fixed"/>
          <w:tblCellMar>
            <w:left w:w="62" w:type="dxa"/>
            <w:right w:w="62" w:type="dxa"/>
          </w:tblCellMar>
          <w:tblLook w:val="0000"/>
        </w:tblPrEx>
        <w:tc>
          <w:tcPr>
            <w:tcW w:w="71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109" w:type="dxa"/>
            <w:tcBorders>
              <w:top w:val="nil"/>
              <w:left w:val="nil"/>
              <w:bottom w:val="nil"/>
              <w:right w:val="nil"/>
            </w:tcBorders>
            <w:tcMar>
              <w:top w:w="0" w:type="dxa"/>
              <w:left w:w="62" w:type="dxa"/>
              <w:bottom w:w="0" w:type="dxa"/>
              <w:right w:w="62" w:type="dxa"/>
            </w:tcMar>
          </w:tcPr>
          <w:p w:rsidR="00000000" w:rsidRPr="004A4EEA">
            <w:pPr>
              <w:pStyle w:val="BodyText"/>
              <w:keepLines w:val="0"/>
              <w:spacing w:before="0" w:after="0"/>
            </w:pPr>
          </w:p>
        </w:tc>
        <w:tc>
          <w:tcPr>
            <w:tcW w:w="1372" w:type="dxa"/>
            <w:tcBorders>
              <w:top w:val="nil"/>
              <w:left w:val="nil"/>
              <w:bottom w:val="nil"/>
              <w:right w:val="nil"/>
            </w:tcBorders>
            <w:tcMar>
              <w:top w:w="0" w:type="dxa"/>
              <w:left w:w="62" w:type="dxa"/>
              <w:bottom w:w="0" w:type="dxa"/>
              <w:right w:w="62" w:type="dxa"/>
            </w:tcMar>
          </w:tcPr>
          <w:p w:rsidR="00000000" w:rsidP="004A4EEA">
            <w:pPr>
              <w:pStyle w:val="BodyText"/>
              <w:rPr>
                <w:lang w:val="en-NZ"/>
              </w:rPr>
            </w:pPr>
            <w:r w:rsidRPr="004A4EEA">
              <w:rPr>
                <w:rStyle w:val="SpecialBold"/>
              </w:rPr>
              <w:t>3.5</w:t>
            </w:r>
          </w:p>
        </w:tc>
        <w:tc>
          <w:tcPr>
            <w:tcW w:w="4301" w:type="dxa"/>
            <w:tcBorders>
              <w:top w:val="nil"/>
              <w:left w:val="nil"/>
              <w:bottom w:val="nil"/>
              <w:right w:val="nil"/>
            </w:tcBorders>
            <w:tcMar>
              <w:top w:w="0" w:type="dxa"/>
              <w:left w:w="62" w:type="dxa"/>
              <w:bottom w:w="0" w:type="dxa"/>
              <w:right w:w="62" w:type="dxa"/>
            </w:tcMar>
          </w:tcPr>
          <w:p w:rsidR="00000000" w:rsidP="004A4EEA">
            <w:pPr>
              <w:pStyle w:val="BodyText"/>
              <w:rPr>
                <w:lang w:val="en-NZ"/>
              </w:rPr>
            </w:pPr>
            <w:r w:rsidRPr="004A4EEA">
              <w:t>Implications of using particular rail network standards for rail safety compliance are explained, as required, in accordance with organisational needs</w:t>
            </w:r>
          </w:p>
        </w:tc>
      </w:tr>
      <w:tr w:rsidTr="004A4EEA">
        <w:tblPrEx>
          <w:tblW w:w="9497" w:type="dxa"/>
          <w:tblLayout w:type="fixed"/>
          <w:tblCellMar>
            <w:left w:w="62" w:type="dxa"/>
            <w:right w:w="62" w:type="dxa"/>
          </w:tblCellMar>
          <w:tblLook w:val="0000"/>
        </w:tblPrEx>
        <w:tc>
          <w:tcPr>
            <w:tcW w:w="715" w:type="dxa"/>
            <w:tcBorders>
              <w:top w:val="nil"/>
              <w:left w:val="nil"/>
              <w:bottom w:val="nil"/>
              <w:right w:val="nil"/>
            </w:tcBorders>
            <w:tcMar>
              <w:top w:w="0" w:type="dxa"/>
              <w:left w:w="62" w:type="dxa"/>
              <w:bottom w:w="0" w:type="dxa"/>
              <w:right w:w="62" w:type="dxa"/>
            </w:tcMar>
          </w:tcPr>
          <w:p w:rsidR="00000000" w:rsidRPr="004A4EEA" w:rsidP="004A4EEA">
            <w:pPr>
              <w:pStyle w:val="BodyText"/>
            </w:pPr>
            <w:r w:rsidRPr="004A4EEA">
              <w:rPr>
                <w:rStyle w:val="SpecialBold"/>
              </w:rPr>
              <w:t>4</w:t>
            </w:r>
          </w:p>
        </w:tc>
        <w:tc>
          <w:tcPr>
            <w:tcW w:w="3109" w:type="dxa"/>
            <w:tcBorders>
              <w:top w:val="nil"/>
              <w:left w:val="nil"/>
              <w:bottom w:val="nil"/>
              <w:right w:val="nil"/>
            </w:tcBorders>
            <w:tcMar>
              <w:top w:w="0" w:type="dxa"/>
              <w:left w:w="62" w:type="dxa"/>
              <w:bottom w:w="0" w:type="dxa"/>
              <w:right w:w="62" w:type="dxa"/>
            </w:tcMar>
          </w:tcPr>
          <w:p w:rsidR="00000000" w:rsidRPr="004A4EEA" w:rsidP="004A4EEA">
            <w:pPr>
              <w:pStyle w:val="BodyText"/>
            </w:pPr>
            <w:r w:rsidRPr="004A4EEA">
              <w:rPr>
                <w:rStyle w:val="SpecialBold"/>
              </w:rPr>
              <w:t>Identify principles underpinning rail safety regulation</w:t>
            </w:r>
          </w:p>
        </w:tc>
        <w:tc>
          <w:tcPr>
            <w:tcW w:w="1372" w:type="dxa"/>
            <w:tcBorders>
              <w:top w:val="nil"/>
              <w:left w:val="nil"/>
              <w:bottom w:val="nil"/>
              <w:right w:val="nil"/>
            </w:tcBorders>
            <w:tcMar>
              <w:top w:w="0" w:type="dxa"/>
              <w:left w:w="62" w:type="dxa"/>
              <w:bottom w:w="0" w:type="dxa"/>
              <w:right w:w="62" w:type="dxa"/>
            </w:tcMar>
          </w:tcPr>
          <w:p w:rsidR="00000000" w:rsidP="004A4EEA">
            <w:pPr>
              <w:pStyle w:val="BodyText"/>
              <w:rPr>
                <w:lang w:val="en-NZ"/>
              </w:rPr>
            </w:pPr>
            <w:r w:rsidRPr="004A4EEA">
              <w:rPr>
                <w:rStyle w:val="SpecialBold"/>
              </w:rPr>
              <w:t>4.1</w:t>
            </w:r>
          </w:p>
        </w:tc>
        <w:tc>
          <w:tcPr>
            <w:tcW w:w="4301" w:type="dxa"/>
            <w:tcBorders>
              <w:top w:val="nil"/>
              <w:left w:val="nil"/>
              <w:bottom w:val="nil"/>
              <w:right w:val="nil"/>
            </w:tcBorders>
            <w:tcMar>
              <w:top w:w="0" w:type="dxa"/>
              <w:left w:w="62" w:type="dxa"/>
              <w:bottom w:w="0" w:type="dxa"/>
              <w:right w:w="62" w:type="dxa"/>
            </w:tcMar>
          </w:tcPr>
          <w:p w:rsidR="00000000" w:rsidP="004A4EEA">
            <w:pPr>
              <w:pStyle w:val="BodyText"/>
              <w:rPr>
                <w:lang w:val="en-NZ"/>
              </w:rPr>
            </w:pPr>
            <w:r w:rsidRPr="004A4EEA">
              <w:t>Role, func</w:t>
            </w:r>
            <w:r w:rsidRPr="004A4EEA">
              <w:t>tion and purpose of coregulation in the rail industry are identified and explained</w:t>
            </w:r>
          </w:p>
        </w:tc>
      </w:tr>
      <w:tr w:rsidTr="004A4EEA">
        <w:tblPrEx>
          <w:tblW w:w="9497" w:type="dxa"/>
          <w:tblLayout w:type="fixed"/>
          <w:tblCellMar>
            <w:left w:w="62" w:type="dxa"/>
            <w:right w:w="62" w:type="dxa"/>
          </w:tblCellMar>
          <w:tblLook w:val="0000"/>
        </w:tblPrEx>
        <w:tc>
          <w:tcPr>
            <w:tcW w:w="71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109" w:type="dxa"/>
            <w:tcBorders>
              <w:top w:val="nil"/>
              <w:left w:val="nil"/>
              <w:bottom w:val="nil"/>
              <w:right w:val="nil"/>
            </w:tcBorders>
            <w:tcMar>
              <w:top w:w="0" w:type="dxa"/>
              <w:left w:w="62" w:type="dxa"/>
              <w:bottom w:w="0" w:type="dxa"/>
              <w:right w:w="62" w:type="dxa"/>
            </w:tcMar>
          </w:tcPr>
          <w:p w:rsidR="00000000" w:rsidRPr="004A4EEA">
            <w:pPr>
              <w:pStyle w:val="BodyText"/>
              <w:keepLines w:val="0"/>
              <w:spacing w:before="0" w:after="0"/>
            </w:pPr>
          </w:p>
        </w:tc>
        <w:tc>
          <w:tcPr>
            <w:tcW w:w="1372" w:type="dxa"/>
            <w:tcBorders>
              <w:top w:val="nil"/>
              <w:left w:val="nil"/>
              <w:bottom w:val="nil"/>
              <w:right w:val="nil"/>
            </w:tcBorders>
            <w:tcMar>
              <w:top w:w="0" w:type="dxa"/>
              <w:left w:w="62" w:type="dxa"/>
              <w:bottom w:w="0" w:type="dxa"/>
              <w:right w:w="62" w:type="dxa"/>
            </w:tcMar>
          </w:tcPr>
          <w:p w:rsidR="00000000" w:rsidP="004A4EEA">
            <w:pPr>
              <w:pStyle w:val="BodyText"/>
              <w:rPr>
                <w:lang w:val="en-NZ"/>
              </w:rPr>
            </w:pPr>
            <w:r w:rsidRPr="004A4EEA">
              <w:rPr>
                <w:rStyle w:val="SpecialBold"/>
              </w:rPr>
              <w:t>4.2</w:t>
            </w:r>
          </w:p>
        </w:tc>
        <w:tc>
          <w:tcPr>
            <w:tcW w:w="4301" w:type="dxa"/>
            <w:tcBorders>
              <w:top w:val="nil"/>
              <w:left w:val="nil"/>
              <w:bottom w:val="nil"/>
              <w:right w:val="nil"/>
            </w:tcBorders>
            <w:tcMar>
              <w:top w:w="0" w:type="dxa"/>
              <w:left w:w="62" w:type="dxa"/>
              <w:bottom w:w="0" w:type="dxa"/>
              <w:right w:w="62" w:type="dxa"/>
            </w:tcMar>
          </w:tcPr>
          <w:p w:rsidR="00000000" w:rsidP="004A4EEA">
            <w:pPr>
              <w:pStyle w:val="BodyText"/>
              <w:rPr>
                <w:lang w:val="en-NZ"/>
              </w:rPr>
            </w:pPr>
            <w:r w:rsidRPr="004A4EEA">
              <w:t>Role, function and purpose of an organisational safety management system and accreditation in the context of legislation and guidelines are identified</w:t>
            </w:r>
          </w:p>
        </w:tc>
      </w:tr>
      <w:tr w:rsidTr="004A4EEA">
        <w:tblPrEx>
          <w:tblW w:w="9497" w:type="dxa"/>
          <w:tblLayout w:type="fixed"/>
          <w:tblCellMar>
            <w:left w:w="62" w:type="dxa"/>
            <w:right w:w="62" w:type="dxa"/>
          </w:tblCellMar>
          <w:tblLook w:val="0000"/>
        </w:tblPrEx>
        <w:tc>
          <w:tcPr>
            <w:tcW w:w="71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109" w:type="dxa"/>
            <w:tcBorders>
              <w:top w:val="nil"/>
              <w:left w:val="nil"/>
              <w:bottom w:val="nil"/>
              <w:right w:val="nil"/>
            </w:tcBorders>
            <w:tcMar>
              <w:top w:w="0" w:type="dxa"/>
              <w:left w:w="62" w:type="dxa"/>
              <w:bottom w:w="0" w:type="dxa"/>
              <w:right w:w="62" w:type="dxa"/>
            </w:tcMar>
          </w:tcPr>
          <w:p w:rsidR="00000000" w:rsidRPr="004A4EEA">
            <w:pPr>
              <w:pStyle w:val="BodyText"/>
              <w:keepLines w:val="0"/>
              <w:spacing w:before="0" w:after="0"/>
            </w:pPr>
          </w:p>
        </w:tc>
        <w:tc>
          <w:tcPr>
            <w:tcW w:w="1372" w:type="dxa"/>
            <w:tcBorders>
              <w:top w:val="nil"/>
              <w:left w:val="nil"/>
              <w:bottom w:val="nil"/>
              <w:right w:val="nil"/>
            </w:tcBorders>
            <w:tcMar>
              <w:top w:w="0" w:type="dxa"/>
              <w:left w:w="62" w:type="dxa"/>
              <w:bottom w:w="0" w:type="dxa"/>
              <w:right w:w="62" w:type="dxa"/>
            </w:tcMar>
          </w:tcPr>
          <w:p w:rsidR="00000000" w:rsidP="004A4EEA">
            <w:pPr>
              <w:pStyle w:val="BodyText"/>
              <w:rPr>
                <w:lang w:val="en-NZ"/>
              </w:rPr>
            </w:pPr>
            <w:r w:rsidRPr="004A4EEA">
              <w:rPr>
                <w:rStyle w:val="SpecialBold"/>
              </w:rPr>
              <w:t>4.3</w:t>
            </w:r>
          </w:p>
        </w:tc>
        <w:tc>
          <w:tcPr>
            <w:tcW w:w="4301" w:type="dxa"/>
            <w:tcBorders>
              <w:top w:val="nil"/>
              <w:left w:val="nil"/>
              <w:bottom w:val="nil"/>
              <w:right w:val="nil"/>
            </w:tcBorders>
            <w:tcMar>
              <w:top w:w="0" w:type="dxa"/>
              <w:left w:w="62" w:type="dxa"/>
              <w:bottom w:w="0" w:type="dxa"/>
              <w:right w:w="62" w:type="dxa"/>
            </w:tcMar>
          </w:tcPr>
          <w:p w:rsidR="00000000" w:rsidP="004A4EEA">
            <w:pPr>
              <w:pStyle w:val="BodyText"/>
              <w:rPr>
                <w:lang w:val="en-NZ"/>
              </w:rPr>
            </w:pPr>
            <w:r w:rsidRPr="004A4EEA">
              <w:t>Functions and obligations of duty holders and their general duties in the context of rail safety legislation are identified</w:t>
            </w:r>
          </w:p>
        </w:tc>
      </w:tr>
      <w:tr w:rsidTr="004A4EEA">
        <w:tblPrEx>
          <w:tblW w:w="9497" w:type="dxa"/>
          <w:tblLayout w:type="fixed"/>
          <w:tblCellMar>
            <w:left w:w="62" w:type="dxa"/>
            <w:right w:w="62" w:type="dxa"/>
          </w:tblCellMar>
          <w:tblLook w:val="0000"/>
        </w:tblPrEx>
        <w:tc>
          <w:tcPr>
            <w:tcW w:w="715" w:type="dxa"/>
            <w:tcBorders>
              <w:top w:val="nil"/>
              <w:left w:val="nil"/>
              <w:bottom w:val="nil"/>
              <w:right w:val="nil"/>
            </w:tcBorders>
            <w:tcMar>
              <w:top w:w="0" w:type="dxa"/>
              <w:left w:w="62" w:type="dxa"/>
              <w:bottom w:w="0" w:type="dxa"/>
              <w:right w:w="62" w:type="dxa"/>
            </w:tcMar>
          </w:tcPr>
          <w:p w:rsidR="00000000" w:rsidRPr="004A4EEA" w:rsidP="004A4EEA">
            <w:pPr>
              <w:pStyle w:val="BodyText"/>
            </w:pPr>
            <w:r w:rsidRPr="004A4EEA">
              <w:rPr>
                <w:rStyle w:val="SpecialBold"/>
              </w:rPr>
              <w:t>5</w:t>
            </w:r>
          </w:p>
        </w:tc>
        <w:tc>
          <w:tcPr>
            <w:tcW w:w="3109" w:type="dxa"/>
            <w:tcBorders>
              <w:top w:val="nil"/>
              <w:left w:val="nil"/>
              <w:bottom w:val="nil"/>
              <w:right w:val="nil"/>
            </w:tcBorders>
            <w:tcMar>
              <w:top w:w="0" w:type="dxa"/>
              <w:left w:w="62" w:type="dxa"/>
              <w:bottom w:w="0" w:type="dxa"/>
              <w:right w:w="62" w:type="dxa"/>
            </w:tcMar>
          </w:tcPr>
          <w:p w:rsidR="00000000" w:rsidRPr="004A4EEA" w:rsidP="004A4EEA">
            <w:pPr>
              <w:pStyle w:val="BodyText"/>
            </w:pPr>
            <w:r w:rsidRPr="004A4EEA">
              <w:rPr>
                <w:rStyle w:val="SpecialBold"/>
              </w:rPr>
              <w:t>Establish and maintain rail regulatory relationships</w:t>
            </w:r>
          </w:p>
        </w:tc>
        <w:tc>
          <w:tcPr>
            <w:tcW w:w="1372" w:type="dxa"/>
            <w:tcBorders>
              <w:top w:val="nil"/>
              <w:left w:val="nil"/>
              <w:bottom w:val="nil"/>
              <w:right w:val="nil"/>
            </w:tcBorders>
            <w:tcMar>
              <w:top w:w="0" w:type="dxa"/>
              <w:left w:w="62" w:type="dxa"/>
              <w:bottom w:w="0" w:type="dxa"/>
              <w:right w:w="62" w:type="dxa"/>
            </w:tcMar>
          </w:tcPr>
          <w:p w:rsidR="00000000" w:rsidP="004A4EEA">
            <w:pPr>
              <w:pStyle w:val="BodyText"/>
              <w:rPr>
                <w:lang w:val="en-NZ"/>
              </w:rPr>
            </w:pPr>
            <w:r w:rsidRPr="004A4EEA">
              <w:rPr>
                <w:rStyle w:val="SpecialBold"/>
              </w:rPr>
              <w:t>5.1</w:t>
            </w:r>
          </w:p>
        </w:tc>
        <w:tc>
          <w:tcPr>
            <w:tcW w:w="4301" w:type="dxa"/>
            <w:tcBorders>
              <w:top w:val="nil"/>
              <w:left w:val="nil"/>
              <w:bottom w:val="nil"/>
              <w:right w:val="nil"/>
            </w:tcBorders>
            <w:tcMar>
              <w:top w:w="0" w:type="dxa"/>
              <w:left w:w="62" w:type="dxa"/>
              <w:bottom w:w="0" w:type="dxa"/>
              <w:right w:w="62" w:type="dxa"/>
            </w:tcMar>
          </w:tcPr>
          <w:p w:rsidR="00000000" w:rsidP="004A4EEA">
            <w:pPr>
              <w:pStyle w:val="BodyText"/>
              <w:rPr>
                <w:lang w:val="en-NZ"/>
              </w:rPr>
            </w:pPr>
            <w:r w:rsidRPr="004A4EEA">
              <w:t>Appropriate regulatory channels are identified and lines of communicatio</w:t>
            </w:r>
            <w:r w:rsidRPr="004A4EEA">
              <w:t>n are established and maintained</w:t>
            </w:r>
          </w:p>
        </w:tc>
      </w:tr>
      <w:tr w:rsidTr="004A4EEA">
        <w:tblPrEx>
          <w:tblW w:w="9497" w:type="dxa"/>
          <w:tblLayout w:type="fixed"/>
          <w:tblCellMar>
            <w:left w:w="62" w:type="dxa"/>
            <w:right w:w="62" w:type="dxa"/>
          </w:tblCellMar>
          <w:tblLook w:val="0000"/>
        </w:tblPrEx>
        <w:tc>
          <w:tcPr>
            <w:tcW w:w="71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109" w:type="dxa"/>
            <w:tcBorders>
              <w:top w:val="nil"/>
              <w:left w:val="nil"/>
              <w:bottom w:val="nil"/>
              <w:right w:val="nil"/>
            </w:tcBorders>
            <w:tcMar>
              <w:top w:w="0" w:type="dxa"/>
              <w:left w:w="62" w:type="dxa"/>
              <w:bottom w:w="0" w:type="dxa"/>
              <w:right w:w="62" w:type="dxa"/>
            </w:tcMar>
          </w:tcPr>
          <w:p w:rsidR="00000000" w:rsidRPr="004A4EEA">
            <w:pPr>
              <w:pStyle w:val="BodyText"/>
              <w:keepLines w:val="0"/>
              <w:spacing w:before="0" w:after="0"/>
            </w:pPr>
          </w:p>
        </w:tc>
        <w:tc>
          <w:tcPr>
            <w:tcW w:w="1372" w:type="dxa"/>
            <w:tcBorders>
              <w:top w:val="nil"/>
              <w:left w:val="nil"/>
              <w:bottom w:val="nil"/>
              <w:right w:val="nil"/>
            </w:tcBorders>
            <w:tcMar>
              <w:top w:w="0" w:type="dxa"/>
              <w:left w:w="62" w:type="dxa"/>
              <w:bottom w:w="0" w:type="dxa"/>
              <w:right w:w="62" w:type="dxa"/>
            </w:tcMar>
          </w:tcPr>
          <w:p w:rsidR="00000000" w:rsidP="004A4EEA">
            <w:pPr>
              <w:pStyle w:val="BodyText"/>
              <w:rPr>
                <w:lang w:val="en-NZ"/>
              </w:rPr>
            </w:pPr>
            <w:r w:rsidRPr="004A4EEA">
              <w:rPr>
                <w:rStyle w:val="SpecialBold"/>
              </w:rPr>
              <w:t>5.2</w:t>
            </w:r>
          </w:p>
        </w:tc>
        <w:tc>
          <w:tcPr>
            <w:tcW w:w="4301" w:type="dxa"/>
            <w:tcBorders>
              <w:top w:val="nil"/>
              <w:left w:val="nil"/>
              <w:bottom w:val="nil"/>
              <w:right w:val="nil"/>
            </w:tcBorders>
            <w:tcMar>
              <w:top w:w="0" w:type="dxa"/>
              <w:left w:w="62" w:type="dxa"/>
              <w:bottom w:w="0" w:type="dxa"/>
              <w:right w:w="62" w:type="dxa"/>
            </w:tcMar>
          </w:tcPr>
          <w:p w:rsidR="00000000" w:rsidP="004A4EEA">
            <w:pPr>
              <w:pStyle w:val="BodyText"/>
              <w:rPr>
                <w:lang w:val="en-NZ"/>
              </w:rPr>
            </w:pPr>
            <w:r w:rsidRPr="004A4EEA">
              <w:t>Interests and requirements of the organisation are represented and promoted</w:t>
            </w:r>
          </w:p>
        </w:tc>
      </w:tr>
      <w:tr w:rsidTr="004A4EEA">
        <w:tblPrEx>
          <w:tblW w:w="9497" w:type="dxa"/>
          <w:tblLayout w:type="fixed"/>
          <w:tblCellMar>
            <w:left w:w="62" w:type="dxa"/>
            <w:right w:w="62" w:type="dxa"/>
          </w:tblCellMar>
          <w:tblLook w:val="0000"/>
        </w:tblPrEx>
        <w:tc>
          <w:tcPr>
            <w:tcW w:w="71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109" w:type="dxa"/>
            <w:tcBorders>
              <w:top w:val="nil"/>
              <w:left w:val="nil"/>
              <w:bottom w:val="nil"/>
              <w:right w:val="nil"/>
            </w:tcBorders>
            <w:tcMar>
              <w:top w:w="0" w:type="dxa"/>
              <w:left w:w="62" w:type="dxa"/>
              <w:bottom w:w="0" w:type="dxa"/>
              <w:right w:w="62" w:type="dxa"/>
            </w:tcMar>
          </w:tcPr>
          <w:p w:rsidR="00000000" w:rsidRPr="004A4EEA">
            <w:pPr>
              <w:pStyle w:val="BodyText"/>
              <w:keepLines w:val="0"/>
              <w:spacing w:before="0" w:after="0"/>
            </w:pPr>
          </w:p>
        </w:tc>
        <w:tc>
          <w:tcPr>
            <w:tcW w:w="1372" w:type="dxa"/>
            <w:tcBorders>
              <w:top w:val="nil"/>
              <w:left w:val="nil"/>
              <w:bottom w:val="nil"/>
              <w:right w:val="nil"/>
            </w:tcBorders>
            <w:tcMar>
              <w:top w:w="0" w:type="dxa"/>
              <w:left w:w="62" w:type="dxa"/>
              <w:bottom w:w="0" w:type="dxa"/>
              <w:right w:w="62" w:type="dxa"/>
            </w:tcMar>
          </w:tcPr>
          <w:p w:rsidR="00000000" w:rsidP="004A4EEA">
            <w:pPr>
              <w:pStyle w:val="BodyText"/>
              <w:rPr>
                <w:lang w:val="en-NZ"/>
              </w:rPr>
            </w:pPr>
            <w:r w:rsidRPr="004A4EEA">
              <w:rPr>
                <w:rStyle w:val="SpecialBold"/>
              </w:rPr>
              <w:t>5.3</w:t>
            </w:r>
          </w:p>
        </w:tc>
        <w:tc>
          <w:tcPr>
            <w:tcW w:w="4301" w:type="dxa"/>
            <w:tcBorders>
              <w:top w:val="nil"/>
              <w:left w:val="nil"/>
              <w:bottom w:val="nil"/>
              <w:right w:val="nil"/>
            </w:tcBorders>
            <w:tcMar>
              <w:top w:w="0" w:type="dxa"/>
              <w:left w:w="62" w:type="dxa"/>
              <w:bottom w:w="0" w:type="dxa"/>
              <w:right w:w="62" w:type="dxa"/>
            </w:tcMar>
          </w:tcPr>
          <w:p w:rsidR="00000000" w:rsidRPr="004A4EEA" w:rsidP="004A4EEA">
            <w:pPr>
              <w:pStyle w:val="BodyText"/>
            </w:pPr>
            <w:r w:rsidRPr="004A4EEA">
              <w:t>Feedback is exchanged and used to improve regulatory outcomes</w:t>
            </w:r>
          </w:p>
        </w:tc>
      </w:tr>
    </w:tbl>
    <w:p w:rsidR="00000000" w:rsidRPr="004A4EEA" w:rsidP="004A4EEA">
      <w:pPr>
        <w:pStyle w:val="NoPaddingFontSize1"/>
      </w:pPr>
    </w:p>
    <w:p w:rsidR="00000000" w:rsidRPr="004A4EEA" w:rsidP="004A4EEA">
      <w:pPr>
        <w:pStyle w:val="AllowPageBreak"/>
      </w:pPr>
    </w:p>
    <w:p w:rsidR="00000000" w:rsidRPr="004A4EEA" w:rsidP="004A4EEA">
      <w:pPr>
        <w:pStyle w:val="Heading1"/>
      </w:pPr>
      <w:bookmarkStart w:id="7" w:name="O_1240596"/>
      <w:bookmarkEnd w:id="7"/>
      <w:r w:rsidRPr="004A4EEA">
        <w:t>Foundation Skills</w:t>
      </w:r>
    </w:p>
    <w:tbl>
      <w:tblPr>
        <w:tblW w:w="9497" w:type="dxa"/>
        <w:tblLayout w:type="fixed"/>
        <w:tblCellMar>
          <w:left w:w="62" w:type="dxa"/>
          <w:right w:w="62" w:type="dxa"/>
        </w:tblCellMar>
        <w:tblLook w:val="0000"/>
      </w:tblPr>
      <w:tblGrid>
        <w:gridCol w:w="9497"/>
      </w:tblGrid>
      <w:tr w:rsidTr="004A4EE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A4EEA" w:rsidP="004A4EEA">
            <w:pPr>
              <w:pStyle w:val="BodyText"/>
            </w:pPr>
            <w:r w:rsidRPr="004A4EEA">
              <w:t>Foundation skills essential to performance are explicit in the performance criteria of this unit of competency.</w:t>
            </w:r>
          </w:p>
        </w:tc>
      </w:tr>
    </w:tbl>
    <w:p w:rsidR="00000000" w:rsidRPr="004A4EEA" w:rsidP="004A4EEA">
      <w:pPr>
        <w:pStyle w:val="NoPaddingFontSize1"/>
      </w:pPr>
    </w:p>
    <w:p w:rsidR="00000000" w:rsidRPr="004A4EEA" w:rsidP="004A4EEA">
      <w:pPr>
        <w:pStyle w:val="AllowPageBreak"/>
      </w:pPr>
    </w:p>
    <w:p w:rsidR="00000000" w:rsidRPr="004A4EEA" w:rsidP="004A4EEA">
      <w:pPr>
        <w:pStyle w:val="Heading1"/>
      </w:pPr>
      <w:bookmarkStart w:id="8" w:name="O_1240595"/>
      <w:bookmarkEnd w:id="8"/>
      <w:r w:rsidRPr="004A4EEA">
        <w:t>Range of Conditions</w:t>
      </w:r>
    </w:p>
    <w:tbl>
      <w:tblPr>
        <w:tblW w:w="9497" w:type="dxa"/>
        <w:tblLayout w:type="fixed"/>
        <w:tblCellMar>
          <w:left w:w="62" w:type="dxa"/>
          <w:right w:w="62" w:type="dxa"/>
        </w:tblCellMar>
        <w:tblLook w:val="0000"/>
      </w:tblPr>
      <w:tblGrid>
        <w:gridCol w:w="9497"/>
      </w:tblGrid>
      <w:tr w:rsidTr="004A4EE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A4EEA" w:rsidP="004A4EEA">
            <w:pPr>
              <w:pStyle w:val="BodyText"/>
            </w:pPr>
            <w:r w:rsidRPr="004A4EEA">
              <w:t>Range is restricted to essential operating conditions and any other variables essential to the work env</w:t>
            </w:r>
            <w:r w:rsidRPr="004A4EEA">
              <w:t>ironment.</w:t>
            </w:r>
          </w:p>
          <w:p w:rsidR="00000000" w:rsidRPr="004A4EEA" w:rsidP="004A4EEA">
            <w:pPr>
              <w:pStyle w:val="BodyText"/>
            </w:pPr>
            <w:r w:rsidRPr="004A4EEA">
              <w:t>Non-essential conditions can be found in the TLI Transport and Logistics Training Package Companion Volume Implementation Guide.</w:t>
            </w:r>
          </w:p>
        </w:tc>
      </w:tr>
    </w:tbl>
    <w:p w:rsidR="00000000" w:rsidRPr="004A4EEA" w:rsidP="004A4EEA">
      <w:pPr>
        <w:pStyle w:val="NoPaddingFontSize1"/>
      </w:pPr>
    </w:p>
    <w:p w:rsidR="00000000" w:rsidRPr="004A4EEA" w:rsidP="004A4EEA">
      <w:pPr>
        <w:pStyle w:val="AllowPageBreak"/>
      </w:pPr>
    </w:p>
    <w:p w:rsidR="00000000" w:rsidRPr="004A4EEA" w:rsidP="004A4EEA">
      <w:pPr>
        <w:pStyle w:val="Heading1"/>
      </w:pPr>
      <w:bookmarkStart w:id="9" w:name="O_1240594"/>
      <w:bookmarkEnd w:id="9"/>
      <w:r w:rsidRPr="004A4EEA">
        <w:t>Unit Mapping Information</w:t>
      </w:r>
    </w:p>
    <w:tbl>
      <w:tblPr>
        <w:tblW w:w="9497" w:type="dxa"/>
        <w:tblLayout w:type="fixed"/>
        <w:tblCellMar>
          <w:left w:w="62" w:type="dxa"/>
          <w:right w:w="62" w:type="dxa"/>
        </w:tblCellMar>
        <w:tblLook w:val="0000"/>
      </w:tblPr>
      <w:tblGrid>
        <w:gridCol w:w="9497"/>
      </w:tblGrid>
      <w:tr w:rsidTr="004A4EE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A4EEA" w:rsidP="004A4EEA">
            <w:pPr>
              <w:pStyle w:val="BodyText"/>
            </w:pPr>
            <w:r w:rsidRPr="004A4EEA">
              <w:t>This unit replaces and is equivalent to TLIF4100A Identify and meet rai</w:t>
            </w:r>
            <w:r w:rsidRPr="004A4EEA">
              <w:t>l safety regulatory compliance requirements.</w:t>
            </w:r>
          </w:p>
        </w:tc>
      </w:tr>
    </w:tbl>
    <w:p w:rsidR="00000000" w:rsidRPr="004A4EEA" w:rsidP="004A4EEA">
      <w:pPr>
        <w:pStyle w:val="NoPaddingFontSize1"/>
      </w:pPr>
    </w:p>
    <w:p w:rsidR="00000000" w:rsidRPr="004A4EEA" w:rsidP="004A4EEA">
      <w:pPr>
        <w:pStyle w:val="AllowPageBreak"/>
      </w:pPr>
    </w:p>
    <w:p w:rsidR="00000000" w:rsidRPr="004A4EEA" w:rsidP="004A4EEA">
      <w:pPr>
        <w:pStyle w:val="Heading1"/>
      </w:pPr>
      <w:bookmarkStart w:id="10" w:name="O_1240603"/>
      <w:bookmarkEnd w:id="10"/>
      <w:r w:rsidRPr="004A4EEA">
        <w:t>Links</w:t>
      </w:r>
    </w:p>
    <w:p w:rsidR="00000000" w:rsidRPr="004A4EEA" w:rsidP="00340685">
      <w:pPr>
        <w:pStyle w:val="BodyText"/>
      </w:pPr>
      <w:r w:rsidRPr="004A4EEA">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915C25">
        <w:rPr>
          <w:rStyle w:val="Hyperlink"/>
        </w:rPr>
        <w:t>https://vetnet.gov.au/Pages/TrainingDocs.aspx?q=df441c6e-213d-43e3-874c-0b3f7036d851</w:t>
      </w:r>
      <w:r>
        <w:fldChar w:fldCharType="end"/>
      </w:r>
    </w:p>
    <w:p w:rsidR="00000000" w:rsidRPr="004A4EEA" w:rsidP="00340685">
      <w:pPr>
        <w:pStyle w:val="BodyText"/>
        <w:sectPr w:rsidSect="004A4EEA">
          <w:headerReference w:type="default" r:id="rId10"/>
          <w:footerReference w:type="default" r:id="rId11"/>
          <w:pgSz w:w="11908" w:h="16833"/>
          <w:pgMar w:top="1702" w:right="1418" w:bottom="1702" w:left="1418" w:header="992" w:footer="992" w:gutter="0"/>
          <w:cols w:space="720"/>
          <w:noEndnote/>
          <w:docGrid w:linePitch="299"/>
        </w:sectPr>
      </w:pPr>
    </w:p>
    <w:p w:rsidR="00000000" w:rsidRPr="004A4EEA" w:rsidP="004A4EEA">
      <w:pPr>
        <w:pStyle w:val="SuperHeading"/>
      </w:pPr>
      <w:r w:rsidRPr="004A4EEA">
        <w:t>Assessment Requirements for TLIF4100 Identify and meet rail safety regulatory compliance requirements</w:t>
      </w:r>
    </w:p>
    <w:p w:rsidR="00000000" w:rsidRPr="004A4EEA" w:rsidP="004A4EEA">
      <w:pPr>
        <w:pStyle w:val="Heading1"/>
      </w:pPr>
      <w:bookmarkStart w:id="11" w:name="O_1240592"/>
      <w:bookmarkEnd w:id="11"/>
      <w:r w:rsidRPr="004A4EEA">
        <w:t>Modification History</w:t>
      </w:r>
    </w:p>
    <w:tbl>
      <w:tblPr>
        <w:tblW w:w="9497" w:type="dxa"/>
        <w:tblLayout w:type="fixed"/>
        <w:tblCellMar>
          <w:left w:w="62" w:type="dxa"/>
          <w:right w:w="62" w:type="dxa"/>
        </w:tblCellMar>
        <w:tblLook w:val="0000"/>
      </w:tblPr>
      <w:tblGrid>
        <w:gridCol w:w="9497"/>
      </w:tblGrid>
      <w:tr w:rsidTr="004A4EE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A4EEA" w:rsidP="004A4EEA">
            <w:pPr>
              <w:pStyle w:val="BodyText"/>
            </w:pPr>
            <w:r w:rsidRPr="004A4EEA">
              <w:rPr>
                <w:rStyle w:val="SpecialBold"/>
              </w:rPr>
              <w:t>Release 2</w:t>
            </w:r>
            <w:r w:rsidRPr="004A4EEA">
              <w:t>. This is the second release of this unit of competency in the TLI Transport and Logistics Training Package:</w:t>
            </w:r>
          </w:p>
          <w:p w:rsidR="00000000" w:rsidRPr="004A4EEA" w:rsidP="004A4EEA">
            <w:pPr>
              <w:pStyle w:val="ListBullet"/>
            </w:pPr>
            <w:r w:rsidRPr="004A4EEA">
              <w:t>Minor statement changes in Performance Evidence</w:t>
            </w:r>
          </w:p>
          <w:p w:rsidR="00000000" w:rsidRPr="004A4EEA" w:rsidP="004A4EEA">
            <w:pPr>
              <w:pStyle w:val="ListBullet"/>
            </w:pPr>
            <w:r w:rsidRPr="004A4EEA">
              <w:t>Minor statement changes in</w:t>
            </w:r>
            <w:r w:rsidRPr="004A4EEA">
              <w:rPr>
                <w:rStyle w:val="Emphasis"/>
              </w:rPr>
              <w:t xml:space="preserve"> </w:t>
            </w:r>
            <w:r w:rsidRPr="004A4EEA">
              <w:t>Knowledge Evidence</w:t>
            </w:r>
          </w:p>
          <w:p w:rsidR="00000000" w:rsidP="004A4EEA">
            <w:pPr>
              <w:pStyle w:val="ListBullet"/>
              <w:rPr>
                <w:lang w:val="en-NZ"/>
              </w:rPr>
            </w:pPr>
            <w:r w:rsidRPr="004A4EEA">
              <w:t>Minor statement changes in Assessment Conditions.</w:t>
            </w:r>
          </w:p>
        </w:tc>
      </w:tr>
      <w:tr w:rsidTr="004A4EE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A4EEA" w:rsidP="004A4EEA">
            <w:pPr>
              <w:pStyle w:val="BodyText"/>
            </w:pPr>
            <w:r w:rsidRPr="004A4EEA">
              <w:rPr>
                <w:rStyle w:val="SpecialBold"/>
              </w:rPr>
              <w:t>R</w:t>
            </w:r>
            <w:r w:rsidRPr="004A4EEA">
              <w:rPr>
                <w:rStyle w:val="SpecialBold"/>
              </w:rPr>
              <w:t>elease 1</w:t>
            </w:r>
            <w:r w:rsidRPr="004A4EEA">
              <w:t>. This is the first release of this unit of competency in the TLI Transport and Logistics Training Package.</w:t>
            </w:r>
          </w:p>
        </w:tc>
      </w:tr>
    </w:tbl>
    <w:p w:rsidR="00000000" w:rsidRPr="004A4EEA" w:rsidP="004A4EEA">
      <w:pPr>
        <w:pStyle w:val="NoPaddingFontSize1"/>
      </w:pPr>
    </w:p>
    <w:p w:rsidR="00000000" w:rsidRPr="004A4EEA" w:rsidP="004A4EEA">
      <w:pPr>
        <w:pStyle w:val="AllowPageBreak"/>
      </w:pPr>
    </w:p>
    <w:p w:rsidR="00000000" w:rsidRPr="004A4EEA" w:rsidP="004A4EEA">
      <w:pPr>
        <w:pStyle w:val="Heading1"/>
      </w:pPr>
      <w:bookmarkStart w:id="12" w:name="O_1240591"/>
      <w:bookmarkEnd w:id="12"/>
      <w:r w:rsidRPr="004A4EEA">
        <w:t>Performance Evidence</w:t>
      </w:r>
    </w:p>
    <w:tbl>
      <w:tblPr>
        <w:tblW w:w="9497" w:type="dxa"/>
        <w:tblLayout w:type="fixed"/>
        <w:tblCellMar>
          <w:left w:w="62" w:type="dxa"/>
          <w:right w:w="62" w:type="dxa"/>
        </w:tblCellMar>
        <w:tblLook w:val="0000"/>
      </w:tblPr>
      <w:tblGrid>
        <w:gridCol w:w="9497"/>
      </w:tblGrid>
      <w:tr w:rsidTr="004A4EE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A4EEA">
            <w:pPr>
              <w:pStyle w:val="BodyText"/>
              <w:rPr>
                <w:lang w:val="en-NZ"/>
              </w:rPr>
            </w:pPr>
            <w:r w:rsidRPr="004A4EEA">
              <w:t>Evidence required to demonstrate competence in this unit must be relevant to and satisfy all of the requirements of the elements and performance criteria on at least one occasion and include:</w:t>
            </w:r>
          </w:p>
        </w:tc>
      </w:tr>
      <w:tr w:rsidTr="004A4EE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A4EEA" w:rsidP="004A4EEA">
            <w:pPr>
              <w:pStyle w:val="ListBullet"/>
            </w:pPr>
            <w:r w:rsidRPr="004A4EEA">
              <w:t>accessing and using relevant rail safety network standards</w:t>
            </w:r>
          </w:p>
          <w:p w:rsidR="00000000" w:rsidRPr="004A4EEA" w:rsidP="004A4EEA">
            <w:pPr>
              <w:pStyle w:val="ListBullet"/>
            </w:pPr>
            <w:r w:rsidRPr="004A4EEA">
              <w:t>app</w:t>
            </w:r>
            <w:r w:rsidRPr="004A4EEA">
              <w:t>lying relevant legislation and workplace procedures</w:t>
            </w:r>
          </w:p>
          <w:p w:rsidR="00000000" w:rsidRPr="004A4EEA" w:rsidP="004A4EEA">
            <w:pPr>
              <w:pStyle w:val="ListBullet"/>
            </w:pPr>
            <w:r w:rsidRPr="004A4EEA">
              <w:t>communicating effectively with others</w:t>
            </w:r>
          </w:p>
          <w:p w:rsidR="00000000" w:rsidRPr="004A4EEA" w:rsidP="004A4EEA">
            <w:pPr>
              <w:pStyle w:val="ListBullet"/>
            </w:pPr>
            <w:r w:rsidRPr="004A4EEA">
              <w:t>identifying, networking and establishing relationships with a diverse range of rail industry stakeholders</w:t>
            </w:r>
          </w:p>
          <w:p w:rsidR="00000000" w:rsidRPr="004A4EEA" w:rsidP="004A4EEA">
            <w:pPr>
              <w:pStyle w:val="ListBullet"/>
            </w:pPr>
            <w:r w:rsidRPr="004A4EEA">
              <w:t xml:space="preserve">identifying regulatory requirements </w:t>
            </w:r>
          </w:p>
          <w:p w:rsidR="00000000" w:rsidRPr="004A4EEA" w:rsidP="004A4EEA">
            <w:pPr>
              <w:pStyle w:val="ListBullet"/>
            </w:pPr>
            <w:r w:rsidRPr="004A4EEA">
              <w:t>interpreting complex in</w:t>
            </w:r>
            <w:r w:rsidRPr="004A4EEA">
              <w:t xml:space="preserve">formation relating to rail safety regulation and communicating this to team members </w:t>
            </w:r>
          </w:p>
          <w:p w:rsidR="00000000" w:rsidRPr="004A4EEA" w:rsidP="004A4EEA">
            <w:pPr>
              <w:pStyle w:val="ListBullet"/>
            </w:pPr>
            <w:r w:rsidRPr="004A4EEA">
              <w:t>researching information relevant to the rail industry including rail safety regulations</w:t>
            </w:r>
          </w:p>
          <w:p w:rsidR="00000000" w:rsidRPr="004A4EEA" w:rsidP="004A4EEA">
            <w:pPr>
              <w:pStyle w:val="ListBullet"/>
            </w:pPr>
            <w:r w:rsidRPr="004A4EEA">
              <w:t xml:space="preserve">reviewing and communicating regulatory information changes. </w:t>
            </w:r>
          </w:p>
        </w:tc>
      </w:tr>
    </w:tbl>
    <w:p w:rsidR="00000000" w:rsidRPr="004A4EEA" w:rsidP="004A4EEA">
      <w:pPr>
        <w:pStyle w:val="NoPaddingFontSize1"/>
      </w:pPr>
    </w:p>
    <w:p w:rsidR="00000000" w:rsidRPr="004A4EEA" w:rsidP="004A4EEA">
      <w:pPr>
        <w:pStyle w:val="AllowPageBreak"/>
      </w:pPr>
    </w:p>
    <w:p w:rsidR="00000000" w:rsidRPr="004A4EEA" w:rsidP="004A4EEA">
      <w:pPr>
        <w:pStyle w:val="Heading1"/>
      </w:pPr>
      <w:bookmarkStart w:id="13" w:name="O_1240590"/>
      <w:bookmarkEnd w:id="13"/>
      <w:r w:rsidRPr="004A4EEA">
        <w:t>Knowledge Evidence</w:t>
      </w:r>
    </w:p>
    <w:tbl>
      <w:tblPr>
        <w:tblW w:w="9497" w:type="dxa"/>
        <w:tblLayout w:type="fixed"/>
        <w:tblCellMar>
          <w:left w:w="62" w:type="dxa"/>
          <w:right w:w="62" w:type="dxa"/>
        </w:tblCellMar>
        <w:tblLook w:val="0000"/>
      </w:tblPr>
      <w:tblGrid>
        <w:gridCol w:w="9497"/>
      </w:tblGrid>
      <w:tr w:rsidTr="004A4EE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A4EEA">
            <w:pPr>
              <w:pStyle w:val="BodyText"/>
              <w:rPr>
                <w:lang w:val="en-NZ"/>
              </w:rPr>
            </w:pPr>
            <w:r w:rsidRPr="004A4EEA">
              <w:t>Evidence required to demonstrate competence in this unit must be relevant to and satisfy all of the requirements of the elements and performance criteria and include knowledge of:</w:t>
            </w:r>
          </w:p>
        </w:tc>
      </w:tr>
      <w:tr w:rsidTr="004A4EE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A4EEA" w:rsidP="004A4EEA">
            <w:pPr>
              <w:pStyle w:val="ListBullet"/>
            </w:pPr>
            <w:r w:rsidRPr="004A4EEA">
              <w:t xml:space="preserve">changes in rail industry operations and technology and </w:t>
            </w:r>
            <w:r w:rsidRPr="004A4EEA">
              <w:t>the implications for rail safety regulation</w:t>
            </w:r>
          </w:p>
          <w:p w:rsidR="00000000" w:rsidRPr="004A4EEA" w:rsidP="004A4EEA">
            <w:pPr>
              <w:pStyle w:val="ListBullet"/>
            </w:pPr>
            <w:r w:rsidRPr="004A4EEA">
              <w:t>duty holders and their duties under Rail Safety National Law (RSNL) and related legislation</w:t>
            </w:r>
          </w:p>
          <w:p w:rsidR="00000000" w:rsidRPr="004A4EEA" w:rsidP="004A4EEA">
            <w:pPr>
              <w:pStyle w:val="ListBullet"/>
            </w:pPr>
            <w:r w:rsidRPr="004A4EEA">
              <w:t xml:space="preserve">key concepts and definitions relating to RSNL regulation </w:t>
            </w:r>
          </w:p>
          <w:p w:rsidR="00000000" w:rsidRPr="004A4EEA" w:rsidP="004A4EEA">
            <w:pPr>
              <w:pStyle w:val="ListBullet"/>
            </w:pPr>
            <w:r w:rsidRPr="004A4EEA">
              <w:t>key principles and practices associated with railway operation</w:t>
            </w:r>
            <w:r w:rsidRPr="004A4EEA">
              <w:t>s</w:t>
            </w:r>
          </w:p>
          <w:p w:rsidR="00000000" w:rsidRPr="004A4EEA" w:rsidP="004A4EEA">
            <w:pPr>
              <w:pStyle w:val="ListBullet"/>
            </w:pPr>
            <w:r w:rsidRPr="004A4EEA">
              <w:t>key regulatory and standards participants in the rail industry</w:t>
            </w:r>
          </w:p>
          <w:p w:rsidR="00000000" w:rsidRPr="004A4EEA" w:rsidP="004A4EEA">
            <w:pPr>
              <w:pStyle w:val="ListBullet"/>
            </w:pPr>
            <w:r w:rsidRPr="004A4EEA">
              <w:t>organisational systems for risk management and risk mitigation</w:t>
            </w:r>
          </w:p>
          <w:p w:rsidR="00000000" w:rsidRPr="004A4EEA" w:rsidP="004A4EEA">
            <w:pPr>
              <w:pStyle w:val="ListBullet"/>
            </w:pPr>
            <w:r w:rsidRPr="004A4EEA">
              <w:t>rail network and rail industry terminology, including terminology used in technical standards</w:t>
            </w:r>
          </w:p>
          <w:p w:rsidR="00000000" w:rsidRPr="004A4EEA" w:rsidP="004A4EEA">
            <w:pPr>
              <w:pStyle w:val="ListBullet"/>
            </w:pPr>
            <w:r w:rsidRPr="004A4EEA">
              <w:t>rail regulatory framework</w:t>
            </w:r>
          </w:p>
          <w:p w:rsidR="00000000" w:rsidRPr="004A4EEA" w:rsidP="004A4EEA">
            <w:pPr>
              <w:pStyle w:val="ListBullet"/>
            </w:pPr>
            <w:r w:rsidRPr="004A4EEA">
              <w:t>rail saf</w:t>
            </w:r>
            <w:r w:rsidRPr="004A4EEA">
              <w:t>ety management systems</w:t>
            </w:r>
          </w:p>
          <w:p w:rsidR="00000000" w:rsidRPr="004A4EEA" w:rsidP="004A4EEA">
            <w:pPr>
              <w:pStyle w:val="ListBullet"/>
            </w:pPr>
            <w:r w:rsidRPr="004A4EEA">
              <w:t xml:space="preserve">relevance of national and international standards to the rail industry </w:t>
            </w:r>
          </w:p>
          <w:p w:rsidR="00000000" w:rsidRPr="004A4EEA" w:rsidP="004A4EEA">
            <w:pPr>
              <w:pStyle w:val="ListBullet"/>
            </w:pPr>
            <w:r w:rsidRPr="004A4EEA">
              <w:t>role of Rail Industry Safety and Standards Board (RISSB).</w:t>
            </w:r>
          </w:p>
        </w:tc>
      </w:tr>
    </w:tbl>
    <w:p w:rsidR="00000000" w:rsidRPr="004A4EEA" w:rsidP="004A4EEA">
      <w:pPr>
        <w:pStyle w:val="NoPaddingFontSize1"/>
      </w:pPr>
    </w:p>
    <w:p w:rsidR="00000000" w:rsidRPr="004A4EEA" w:rsidP="004A4EEA">
      <w:pPr>
        <w:pStyle w:val="AllowPageBreak"/>
      </w:pPr>
    </w:p>
    <w:p w:rsidR="00000000" w:rsidRPr="004A4EEA" w:rsidP="004A4EEA">
      <w:pPr>
        <w:pStyle w:val="Heading1"/>
      </w:pPr>
      <w:bookmarkStart w:id="14" w:name="O_1240589"/>
      <w:bookmarkEnd w:id="14"/>
      <w:r w:rsidRPr="004A4EEA">
        <w:t>Assessment Conditions</w:t>
      </w:r>
    </w:p>
    <w:tbl>
      <w:tblPr>
        <w:tblW w:w="9497" w:type="dxa"/>
        <w:tblLayout w:type="fixed"/>
        <w:tblCellMar>
          <w:left w:w="62" w:type="dxa"/>
          <w:right w:w="62" w:type="dxa"/>
        </w:tblCellMar>
        <w:tblLook w:val="0000"/>
      </w:tblPr>
      <w:tblGrid>
        <w:gridCol w:w="9497"/>
      </w:tblGrid>
      <w:tr w:rsidTr="004A4EE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A4EEA" w:rsidP="004A4EEA">
            <w:pPr>
              <w:pStyle w:val="BodyText"/>
            </w:pPr>
            <w:r w:rsidRPr="004A4EEA">
              <w:t xml:space="preserve">Assessors must hold credentials specified within the Standards for Registered Training Organisations current at the time of assessment. </w:t>
            </w:r>
          </w:p>
          <w:p w:rsidR="00000000" w:rsidRPr="004A4EEA" w:rsidP="004A4EEA">
            <w:pPr>
              <w:pStyle w:val="BodyText"/>
            </w:pPr>
            <w:r w:rsidRPr="004A4EEA">
              <w:t>Assessment must satisfy the Principles of Assessment and Rules of Evidence and all regulatory requirements included wit</w:t>
            </w:r>
            <w:r w:rsidRPr="004A4EEA">
              <w:t>hin the Standards for Registered Training Organisations current at the time of assessment.</w:t>
            </w:r>
          </w:p>
          <w:p w:rsidR="00000000" w:rsidRPr="004A4EEA" w:rsidP="004A4EEA">
            <w:pPr>
              <w:pStyle w:val="BodyText"/>
            </w:pPr>
            <w:r w:rsidRPr="004A4EEA">
              <w:t>Assessment must occur in workplace operational situations where it is appropriate to do so; where this is not appropriate, assessment must occur in simulated workpla</w:t>
            </w:r>
            <w:r w:rsidRPr="004A4EEA">
              <w:t>ce operational situations that replicate rail workplace conditions.</w:t>
            </w:r>
          </w:p>
          <w:p w:rsidR="00000000" w:rsidRPr="004A4EEA" w:rsidP="004A4EEA">
            <w:pPr>
              <w:pStyle w:val="BodyText"/>
            </w:pPr>
            <w:r w:rsidRPr="004A4EEA">
              <w:t>Assessment processes and techniques must be appropriate to the language, literacy and numeracy requirements of the work being performed and the needs of the candidate.</w:t>
            </w:r>
          </w:p>
          <w:p w:rsidR="00000000" w:rsidRPr="004A4EEA" w:rsidP="004A4EEA">
            <w:pPr>
              <w:pStyle w:val="BodyText"/>
            </w:pPr>
            <w:r w:rsidRPr="004A4EEA">
              <w:t>Resources for assess</w:t>
            </w:r>
            <w:r w:rsidRPr="004A4EEA">
              <w:t>ment must include access to:</w:t>
            </w:r>
          </w:p>
          <w:p w:rsidR="00000000" w:rsidRPr="004A4EEA" w:rsidP="004A4EEA">
            <w:pPr>
              <w:pStyle w:val="ListBullet"/>
            </w:pPr>
            <w:r w:rsidRPr="004A4EEA">
              <w:t>a range of relevant exercises, case studies and/or simulations</w:t>
            </w:r>
          </w:p>
          <w:p w:rsidR="00000000" w:rsidRPr="004A4EEA" w:rsidP="004A4EEA">
            <w:pPr>
              <w:pStyle w:val="ListBullet"/>
            </w:pPr>
            <w:r w:rsidRPr="004A4EEA">
              <w:t>applicable documentation including workplace procedures, rail safety national law regulations, codes of practice and operation manuals.</w:t>
            </w:r>
          </w:p>
        </w:tc>
      </w:tr>
    </w:tbl>
    <w:p w:rsidR="00000000" w:rsidRPr="004A4EEA" w:rsidP="004A4EEA">
      <w:pPr>
        <w:pStyle w:val="NoPaddingFontSize1"/>
      </w:pPr>
    </w:p>
    <w:p w:rsidR="00000000" w:rsidRPr="004A4EEA" w:rsidP="004A4EEA">
      <w:pPr>
        <w:pStyle w:val="AllowPageBreak"/>
      </w:pPr>
    </w:p>
    <w:p w:rsidR="00000000" w:rsidRPr="004A4EEA" w:rsidP="004A4EEA">
      <w:pPr>
        <w:pStyle w:val="Heading1"/>
      </w:pPr>
      <w:bookmarkStart w:id="15" w:name="O_1240604"/>
      <w:bookmarkEnd w:id="15"/>
      <w:r w:rsidRPr="004A4EEA">
        <w:t>Links</w:t>
      </w:r>
    </w:p>
    <w:p w:rsidR="00000000" w:rsidRPr="004A4EEA" w:rsidP="00340685">
      <w:pPr>
        <w:pStyle w:val="BodyText"/>
      </w:pPr>
      <w:r w:rsidRPr="004A4EEA">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915C25">
        <w:rPr>
          <w:rStyle w:val="Hyperlink"/>
        </w:rPr>
        <w:t>https://vetnet.gov.au/Pages/TrainingDocs.aspx?q=df441c6e-213d-43e3-874c-0b3f7036d851</w:t>
      </w:r>
      <w:r>
        <w:fldChar w:fldCharType="end"/>
      </w:r>
    </w:p>
    <w:p w:rsidR="00000000" w:rsidRPr="004A4EEA" w:rsidP="004A4EEA"/>
    <w:sectPr w:rsidSect="004A4EE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4EE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4EEA" w:rsidRPr="00340685" w:rsidP="0034068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4EE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0685" w:rsidP="004A4EE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340685" w:rsidP="004A4EE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340685" w:rsidP="004A4EE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4EEA" w:rsidP="004A4EEA">
    <w:pPr>
      <w:pStyle w:val="Footer"/>
      <w:framePr w:wrap="around"/>
    </w:pPr>
    <w:r>
      <w:fldChar w:fldCharType="begin"/>
    </w:r>
    <w:r>
      <w:instrText xml:space="preserve"> DOCPROPERTY  Subject  \* MERGEFORMAT </w:instrText>
    </w:r>
    <w:r>
      <w:fldChar w:fldCharType="separate"/>
    </w:r>
    <w:r w:rsidR="00340685">
      <w:t>Approved</w:t>
    </w:r>
    <w:r w:rsidR="00340685">
      <w:fldChar w:fldCharType="end"/>
    </w:r>
    <w:r>
      <w:tab/>
      <w:t xml:space="preserve">Page </w:t>
    </w:r>
    <w:r>
      <w:fldChar w:fldCharType="begin"/>
    </w:r>
    <w:r>
      <w:instrText xml:space="preserve"> PAGE  \* Arabic  \* MERGEFORMAT </w:instrText>
    </w:r>
    <w:r>
      <w:fldChar w:fldCharType="separate"/>
    </w:r>
    <w:r w:rsidR="00340685">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40685">
      <w:rPr>
        <w:noProof/>
      </w:rPr>
      <w:t>5</w:t>
    </w:r>
    <w:r>
      <w:rPr>
        <w:noProof/>
      </w:rPr>
      <w:fldChar w:fldCharType="end"/>
    </w:r>
  </w:p>
  <w:p w:rsidR="004A4EEA" w:rsidP="004A4EEA">
    <w:pPr>
      <w:pStyle w:val="Footer"/>
      <w:framePr w:wrap="around"/>
    </w:pPr>
    <w:r>
      <w:t xml:space="preserve">© Commonwealth of Australia, </w:t>
    </w:r>
    <w:r>
      <w:fldChar w:fldCharType="begin"/>
    </w:r>
    <w:r>
      <w:instrText xml:space="preserve"> DATE  \@ "yyyy"  \* MERGEFORMAT </w:instrText>
    </w:r>
    <w:r>
      <w:fldChar w:fldCharType="separate"/>
    </w:r>
    <w:r w:rsidR="00340685">
      <w:rPr>
        <w:noProof/>
      </w:rPr>
      <w:t>2025</w:t>
    </w:r>
    <w:r>
      <w:fldChar w:fldCharType="end"/>
    </w:r>
    <w:r>
      <w:tab/>
    </w:r>
    <w:r>
      <w:fldChar w:fldCharType="begin"/>
    </w:r>
    <w:r>
      <w:instrText xml:space="preserve"> DOCPROPERTY  Author  \* MERGEFORMAT </w:instrText>
    </w:r>
    <w:r>
      <w:fldChar w:fldCharType="separate"/>
    </w:r>
    <w:r w:rsidR="00340685">
      <w:t>Industry Skills Australia</w:t>
    </w:r>
    <w:r w:rsidR="00340685">
      <w:fldChar w:fldCharType="end"/>
    </w:r>
  </w:p>
  <w:p w:rsidR="004A4EEA" w:rsidP="004A4EE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4EE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068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A4EEA" w:rsidRPr="00340685" w:rsidP="0034068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4EE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0685" w:rsidRPr="002D2AF8" w:rsidP="004A4EEA">
    <w:pPr>
      <w:pStyle w:val="Header"/>
      <w:framePr w:wrap="around"/>
    </w:pPr>
    <w:r>
      <w:fldChar w:fldCharType="begin"/>
    </w:r>
    <w:r>
      <w:instrText xml:space="preserve"> TITLE   \* MERGEFORMAT </w:instrText>
    </w:r>
    <w:r>
      <w:fldChar w:fldCharType="separate"/>
    </w:r>
    <w:r>
      <w:t>TLIF4100 Identify and meet rail safety regulatory compliance requirements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40685" w:rsidP="004A4EE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4EEA" w:rsidRPr="002D2AF8" w:rsidP="004A4EEA">
    <w:pPr>
      <w:pStyle w:val="Header"/>
      <w:framePr w:wrap="around"/>
    </w:pPr>
    <w:r>
      <w:fldChar w:fldCharType="begin"/>
    </w:r>
    <w:r>
      <w:instrText xml:space="preserve"> TITLE   \* MERGEFORMAT </w:instrText>
    </w:r>
    <w:r>
      <w:fldChar w:fldCharType="separate"/>
    </w:r>
    <w:r w:rsidR="00340685">
      <w:t>TLIF4100 Identify and meet rail safety regulatory compliance requirements</w:t>
    </w:r>
    <w:r w:rsidR="00340685">
      <w:fldChar w:fldCharType="end"/>
    </w:r>
    <w:r>
      <w:tab/>
      <w:t xml:space="preserve">Date this document was generated: </w:t>
    </w:r>
    <w:r>
      <w:fldChar w:fldCharType="begin"/>
    </w:r>
    <w:r>
      <w:instrText xml:space="preserve"> CREATEDATE  \@ "d MMMM yyyy"  \* MERGEFORMAT </w:instrText>
    </w:r>
    <w:r>
      <w:fldChar w:fldCharType="separate"/>
    </w:r>
    <w:r w:rsidR="00340685">
      <w:rPr>
        <w:noProof/>
      </w:rPr>
      <w:t>2 March 2025</w:t>
    </w:r>
    <w:r>
      <w:fldChar w:fldCharType="end"/>
    </w:r>
  </w:p>
  <w:p w:rsidR="004A4EEA" w:rsidP="004A4EE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79A147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E92588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58C395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4EE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A4EEA"/>
    <w:pPr>
      <w:spacing w:before="360" w:after="60"/>
      <w:outlineLvl w:val="0"/>
    </w:pPr>
    <w:rPr>
      <w:sz w:val="32"/>
    </w:rPr>
  </w:style>
  <w:style w:type="paragraph" w:styleId="Heading2">
    <w:name w:val="heading 2"/>
    <w:basedOn w:val="HeadingBase"/>
    <w:next w:val="BodyText"/>
    <w:link w:val="Heading2Char"/>
    <w:qFormat/>
    <w:rsid w:val="004A4EEA"/>
    <w:pPr>
      <w:keepLines/>
      <w:spacing w:before="240" w:after="120"/>
      <w:outlineLvl w:val="1"/>
    </w:pPr>
    <w:rPr>
      <w:sz w:val="28"/>
      <w:szCs w:val="40"/>
    </w:rPr>
  </w:style>
  <w:style w:type="paragraph" w:styleId="Heading3">
    <w:name w:val="heading 3"/>
    <w:basedOn w:val="HeadingBase"/>
    <w:next w:val="BodyText"/>
    <w:link w:val="Heading3Char"/>
    <w:qFormat/>
    <w:rsid w:val="004A4EEA"/>
    <w:pPr>
      <w:spacing w:before="180" w:after="120"/>
      <w:outlineLvl w:val="2"/>
    </w:pPr>
    <w:rPr>
      <w:spacing w:val="-10"/>
      <w:kern w:val="32"/>
    </w:rPr>
  </w:style>
  <w:style w:type="paragraph" w:styleId="Heading4">
    <w:name w:val="heading 4"/>
    <w:basedOn w:val="HeadingBase"/>
    <w:next w:val="BodyText"/>
    <w:link w:val="Heading4Char"/>
    <w:qFormat/>
    <w:rsid w:val="004A4EEA"/>
    <w:pPr>
      <w:spacing w:before="160" w:after="120"/>
      <w:outlineLvl w:val="3"/>
    </w:pPr>
    <w:rPr>
      <w:sz w:val="22"/>
    </w:rPr>
  </w:style>
  <w:style w:type="paragraph" w:styleId="Heading5">
    <w:name w:val="heading 5"/>
    <w:basedOn w:val="HeadingBase"/>
    <w:next w:val="Normal"/>
    <w:link w:val="Heading5Char"/>
    <w:qFormat/>
    <w:rsid w:val="004A4EEA"/>
    <w:pPr>
      <w:spacing w:before="80"/>
      <w:outlineLvl w:val="4"/>
    </w:pPr>
    <w:rPr>
      <w:color w:val="918585"/>
      <w:sz w:val="20"/>
    </w:rPr>
  </w:style>
  <w:style w:type="paragraph" w:styleId="Heading6">
    <w:name w:val="heading 6"/>
    <w:basedOn w:val="HeadingBase"/>
    <w:next w:val="Normal"/>
    <w:link w:val="Heading6Char"/>
    <w:qFormat/>
    <w:rsid w:val="004A4EEA"/>
    <w:pPr>
      <w:spacing w:before="60"/>
      <w:outlineLvl w:val="5"/>
    </w:pPr>
    <w:rPr>
      <w:color w:val="918585"/>
      <w:sz w:val="20"/>
    </w:rPr>
  </w:style>
  <w:style w:type="paragraph" w:styleId="Heading7">
    <w:name w:val="heading 7"/>
    <w:basedOn w:val="Normal"/>
    <w:next w:val="Normal"/>
    <w:link w:val="Heading7Char"/>
    <w:qFormat/>
    <w:rsid w:val="004A4EEA"/>
    <w:pPr>
      <w:ind w:left="720"/>
      <w:outlineLvl w:val="6"/>
    </w:pPr>
    <w:rPr>
      <w:i/>
    </w:rPr>
  </w:style>
  <w:style w:type="paragraph" w:styleId="Heading8">
    <w:name w:val="heading 8"/>
    <w:basedOn w:val="Normal"/>
    <w:next w:val="Normal"/>
    <w:link w:val="Heading8Char"/>
    <w:qFormat/>
    <w:rsid w:val="004A4EEA"/>
    <w:pPr>
      <w:ind w:left="720"/>
      <w:outlineLvl w:val="7"/>
    </w:pPr>
    <w:rPr>
      <w:i/>
    </w:rPr>
  </w:style>
  <w:style w:type="paragraph" w:styleId="Heading9">
    <w:name w:val="heading 9"/>
    <w:basedOn w:val="Normal"/>
    <w:next w:val="Normal"/>
    <w:link w:val="Heading9Char"/>
    <w:qFormat/>
    <w:rsid w:val="004A4EEA"/>
    <w:pPr>
      <w:ind w:left="720"/>
      <w:outlineLvl w:val="8"/>
    </w:pPr>
    <w:rPr>
      <w:i/>
    </w:rPr>
  </w:style>
  <w:style w:type="character" w:default="1" w:styleId="DefaultParagraphFont">
    <w:name w:val="Default Paragraph Font"/>
    <w:uiPriority w:val="1"/>
    <w:unhideWhenUsed/>
    <w:rsid w:val="004A4EE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A4EEA"/>
  </w:style>
  <w:style w:type="character" w:customStyle="1" w:styleId="Heading1Char">
    <w:name w:val="Heading 1 Char"/>
    <w:basedOn w:val="DefaultParagraphFont"/>
    <w:link w:val="Heading1"/>
    <w:rsid w:val="004A4EEA"/>
    <w:rPr>
      <w:rFonts w:ascii="Times New Roman" w:eastAsia="Times New Roman" w:hAnsi="Times New Roman" w:cs="Times New Roman"/>
      <w:b/>
      <w:sz w:val="32"/>
      <w:szCs w:val="20"/>
      <w:lang w:eastAsia="en-US"/>
    </w:rPr>
  </w:style>
  <w:style w:type="paragraph" w:styleId="BodyText">
    <w:name w:val="Body Text"/>
    <w:basedOn w:val="Normal"/>
    <w:link w:val="BodyTextChar"/>
    <w:rsid w:val="004A4EE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A4EEA"/>
    <w:rPr>
      <w:rFonts w:ascii="Times New Roman" w:eastAsia="Times New Roman" w:hAnsi="Times New Roman" w:cs="Times New Roman"/>
      <w:sz w:val="24"/>
      <w:lang w:eastAsia="en-US"/>
    </w:rPr>
  </w:style>
  <w:style w:type="paragraph" w:styleId="ListBullet">
    <w:name w:val="List Bullet"/>
    <w:basedOn w:val="List"/>
    <w:rsid w:val="004A4EEA"/>
    <w:pPr>
      <w:numPr>
        <w:numId w:val="12"/>
      </w:numPr>
      <w:tabs>
        <w:tab w:val="clear" w:pos="340"/>
      </w:tabs>
      <w:spacing w:before="40" w:after="40"/>
    </w:pPr>
  </w:style>
  <w:style w:type="character" w:customStyle="1" w:styleId="SpecialBold">
    <w:name w:val="Special Bold"/>
    <w:basedOn w:val="DefaultParagraphFont"/>
    <w:rsid w:val="004A4EEA"/>
    <w:rPr>
      <w:b/>
      <w:spacing w:val="0"/>
    </w:rPr>
  </w:style>
  <w:style w:type="paragraph" w:styleId="ListBullet2">
    <w:name w:val="List Bullet 2"/>
    <w:basedOn w:val="List2"/>
    <w:rsid w:val="004A4EEA"/>
    <w:pPr>
      <w:numPr>
        <w:numId w:val="13"/>
      </w:numPr>
      <w:tabs>
        <w:tab w:val="clear" w:pos="680"/>
      </w:tabs>
    </w:pPr>
  </w:style>
  <w:style w:type="character" w:styleId="Emphasis">
    <w:name w:val="Emphasis"/>
    <w:basedOn w:val="DefaultParagraphFont"/>
    <w:qFormat/>
    <w:rsid w:val="004A4EEA"/>
    <w:rPr>
      <w:i/>
    </w:rPr>
  </w:style>
  <w:style w:type="paragraph" w:customStyle="1" w:styleId="SuperHeading">
    <w:name w:val="SuperHeading"/>
    <w:basedOn w:val="Normal"/>
    <w:rsid w:val="004A4EEA"/>
    <w:pPr>
      <w:spacing w:before="240" w:after="120"/>
      <w:outlineLvl w:val="0"/>
    </w:pPr>
    <w:rPr>
      <w:rFonts w:ascii="Times New Roman" w:hAnsi="Times New Roman"/>
      <w:b/>
      <w:sz w:val="32"/>
    </w:rPr>
  </w:style>
  <w:style w:type="paragraph" w:customStyle="1" w:styleId="AllowPageBreak">
    <w:name w:val="AllowPageBreak"/>
    <w:rsid w:val="004A4EE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A4EE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A4EE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A4EE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A4EE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A4EE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A4EE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A4EE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A4EEA"/>
    <w:rPr>
      <w:rFonts w:ascii="Courier New" w:eastAsia="Times New Roman" w:hAnsi="Courier New" w:cs="Times New Roman"/>
      <w:i/>
      <w:szCs w:val="20"/>
      <w:lang w:eastAsia="en-US"/>
    </w:rPr>
  </w:style>
  <w:style w:type="paragraph" w:customStyle="1" w:styleId="HeadingBase">
    <w:name w:val="Heading Base"/>
    <w:rsid w:val="004A4EE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A4EEA"/>
    <w:pPr>
      <w:tabs>
        <w:tab w:val="right" w:leader="dot" w:pos="9072"/>
      </w:tabs>
      <w:ind w:left="567"/>
    </w:pPr>
    <w:rPr>
      <w:szCs w:val="22"/>
    </w:rPr>
  </w:style>
  <w:style w:type="paragraph" w:customStyle="1" w:styleId="TOCBase">
    <w:name w:val="TOC Base"/>
    <w:rsid w:val="004A4EE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A4EEA"/>
    <w:pPr>
      <w:tabs>
        <w:tab w:val="right" w:leader="dot" w:pos="9072"/>
      </w:tabs>
      <w:spacing w:before="40" w:after="40"/>
      <w:ind w:left="284"/>
    </w:pPr>
    <w:rPr>
      <w:rFonts w:ascii="Times New Roman" w:hAnsi="Times New Roman"/>
    </w:rPr>
  </w:style>
  <w:style w:type="paragraph" w:styleId="TOC1">
    <w:name w:val="toc 1"/>
    <w:basedOn w:val="TOCBase"/>
    <w:next w:val="Normal"/>
    <w:rsid w:val="004A4EE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A4EE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A4EEA"/>
    <w:rPr>
      <w:rFonts w:ascii="Times New Roman" w:eastAsia="Times New Roman" w:hAnsi="Times New Roman" w:cs="Times New Roman"/>
      <w:sz w:val="16"/>
      <w:lang w:eastAsia="en-US"/>
    </w:rPr>
  </w:style>
  <w:style w:type="paragraph" w:styleId="Title">
    <w:name w:val="Title"/>
    <w:basedOn w:val="HeadingBase"/>
    <w:link w:val="TitleChar"/>
    <w:qFormat/>
    <w:rsid w:val="004A4EEA"/>
    <w:pPr>
      <w:spacing w:before="5040"/>
      <w:jc w:val="center"/>
    </w:pPr>
    <w:rPr>
      <w:sz w:val="48"/>
      <w:szCs w:val="72"/>
      <w:lang w:val="en-US"/>
    </w:rPr>
  </w:style>
  <w:style w:type="character" w:customStyle="1" w:styleId="TitleChar">
    <w:name w:val="Title Char"/>
    <w:basedOn w:val="DefaultParagraphFont"/>
    <w:link w:val="Title"/>
    <w:rsid w:val="004A4EE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A4EEA"/>
    <w:pPr>
      <w:tabs>
        <w:tab w:val="left" w:pos="3600"/>
        <w:tab w:val="left" w:pos="3958"/>
      </w:tabs>
    </w:pPr>
  </w:style>
  <w:style w:type="paragraph" w:styleId="List">
    <w:name w:val="List"/>
    <w:basedOn w:val="BodyText"/>
    <w:next w:val="BodyText"/>
    <w:rsid w:val="004A4EEA"/>
    <w:pPr>
      <w:tabs>
        <w:tab w:val="left" w:pos="340"/>
      </w:tabs>
      <w:spacing w:before="60" w:after="60"/>
      <w:ind w:left="340" w:hanging="340"/>
    </w:pPr>
  </w:style>
  <w:style w:type="paragraph" w:customStyle="1" w:styleId="Note">
    <w:name w:val="Note"/>
    <w:basedOn w:val="BodyText"/>
    <w:rsid w:val="004A4EE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A4EEA"/>
    <w:pPr>
      <w:framePr w:wrap="auto" w:hAnchor="text" w:y="6049"/>
    </w:pPr>
    <w:rPr>
      <w:color w:val="000000"/>
      <w:sz w:val="40"/>
    </w:rPr>
  </w:style>
  <w:style w:type="paragraph" w:customStyle="1" w:styleId="TOCTitle">
    <w:name w:val="TOCTitle"/>
    <w:basedOn w:val="Heading1"/>
    <w:rsid w:val="004A4EEA"/>
    <w:pPr>
      <w:spacing w:after="240"/>
      <w:jc w:val="center"/>
      <w:outlineLvl w:val="9"/>
    </w:pPr>
    <w:rPr>
      <w:caps/>
    </w:rPr>
  </w:style>
  <w:style w:type="paragraph" w:customStyle="1" w:styleId="Version">
    <w:name w:val="Version"/>
    <w:rsid w:val="004A4EE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A4EEA"/>
    <w:pPr>
      <w:keepNext w:val="0"/>
      <w:tabs>
        <w:tab w:val="right" w:pos="4176"/>
      </w:tabs>
      <w:ind w:left="198" w:hanging="198"/>
    </w:pPr>
    <w:rPr>
      <w:rFonts w:ascii="Garamond" w:hAnsi="Garamond"/>
    </w:rPr>
  </w:style>
  <w:style w:type="paragraph" w:styleId="IndexHeading">
    <w:name w:val="index heading"/>
    <w:basedOn w:val="Normal"/>
    <w:next w:val="Index1"/>
    <w:semiHidden/>
    <w:rsid w:val="004A4EEA"/>
    <w:pPr>
      <w:spacing w:before="120" w:after="120"/>
    </w:pPr>
    <w:rPr>
      <w:rFonts w:ascii="Arial" w:hAnsi="Arial"/>
      <w:b/>
      <w:color w:val="918585"/>
      <w:sz w:val="24"/>
    </w:rPr>
  </w:style>
  <w:style w:type="paragraph" w:styleId="Header">
    <w:name w:val="header"/>
    <w:basedOn w:val="Normal"/>
    <w:link w:val="HeaderChar"/>
    <w:rsid w:val="004A4EE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A4EEA"/>
    <w:rPr>
      <w:rFonts w:ascii="Times New Roman" w:eastAsia="Times New Roman" w:hAnsi="Times New Roman" w:cs="Times New Roman"/>
      <w:sz w:val="16"/>
      <w:szCs w:val="20"/>
      <w:lang w:val="en-GB" w:eastAsia="en-US"/>
    </w:rPr>
  </w:style>
  <w:style w:type="paragraph" w:customStyle="1" w:styleId="Chapter">
    <w:name w:val="Chapter"/>
    <w:basedOn w:val="Normal"/>
    <w:rsid w:val="004A4EEA"/>
    <w:pPr>
      <w:spacing w:before="240"/>
    </w:pPr>
    <w:rPr>
      <w:rFonts w:ascii="Times New Roman" w:hAnsi="Times New Roman"/>
      <w:smallCaps/>
      <w:spacing w:val="80"/>
      <w:sz w:val="28"/>
    </w:rPr>
  </w:style>
  <w:style w:type="paragraph" w:customStyle="1" w:styleId="InChapter">
    <w:name w:val="InChapter"/>
    <w:basedOn w:val="Heading3"/>
    <w:rsid w:val="004A4EEA"/>
    <w:pPr>
      <w:spacing w:after="240"/>
      <w:outlineLvl w:val="9"/>
    </w:pPr>
    <w:rPr>
      <w:noProof/>
    </w:rPr>
  </w:style>
  <w:style w:type="paragraph" w:styleId="Index2">
    <w:name w:val="index 2"/>
    <w:basedOn w:val="Normal"/>
    <w:next w:val="Normal"/>
    <w:semiHidden/>
    <w:rsid w:val="004A4EEA"/>
    <w:pPr>
      <w:tabs>
        <w:tab w:val="right" w:pos="4176"/>
      </w:tabs>
      <w:ind w:left="568" w:hanging="284"/>
    </w:pPr>
    <w:rPr>
      <w:rFonts w:ascii="Garamond" w:hAnsi="Garamond"/>
    </w:rPr>
  </w:style>
  <w:style w:type="paragraph" w:customStyle="1" w:styleId="Byline">
    <w:name w:val="Byline"/>
    <w:rsid w:val="004A4EE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A4EEA"/>
    <w:pPr>
      <w:tabs>
        <w:tab w:val="clear" w:pos="3600"/>
        <w:tab w:val="clear" w:pos="3958"/>
      </w:tabs>
      <w:jc w:val="right"/>
    </w:pPr>
  </w:style>
  <w:style w:type="paragraph" w:styleId="Caption">
    <w:name w:val="caption"/>
    <w:basedOn w:val="BodyText"/>
    <w:next w:val="Normal"/>
    <w:qFormat/>
    <w:rsid w:val="004A4EEA"/>
    <w:pPr>
      <w:framePr w:w="2268" w:hSpace="181" w:vSpace="181" w:wrap="around" w:vAnchor="text" w:hAnchor="page" w:x="1135" w:y="285" w:anchorLock="1"/>
    </w:pPr>
    <w:rPr>
      <w:i/>
    </w:rPr>
  </w:style>
  <w:style w:type="paragraph" w:customStyle="1" w:styleId="MiniTOCTitle">
    <w:name w:val="MiniTOCTitle"/>
    <w:basedOn w:val="Heading4"/>
    <w:rsid w:val="004A4EEA"/>
    <w:pPr>
      <w:spacing w:before="240"/>
      <w:outlineLvl w:val="9"/>
    </w:pPr>
    <w:rPr>
      <w:noProof/>
      <w:sz w:val="24"/>
    </w:rPr>
  </w:style>
  <w:style w:type="paragraph" w:customStyle="1" w:styleId="MiniTOCItem">
    <w:name w:val="MiniTOCItem"/>
    <w:basedOn w:val="ListBullet"/>
    <w:rsid w:val="004A4EEA"/>
    <w:pPr>
      <w:numPr>
        <w:numId w:val="0"/>
      </w:numPr>
      <w:tabs>
        <w:tab w:val="right" w:leader="dot" w:pos="6521"/>
      </w:tabs>
      <w:spacing w:before="0" w:after="0"/>
    </w:pPr>
  </w:style>
  <w:style w:type="paragraph" w:customStyle="1" w:styleId="TOFTitle">
    <w:name w:val="TOFTitle"/>
    <w:basedOn w:val="TOCTitle"/>
    <w:rsid w:val="004A4EEA"/>
  </w:style>
  <w:style w:type="paragraph" w:styleId="TableofFigures">
    <w:name w:val="table of figures"/>
    <w:basedOn w:val="Normal"/>
    <w:next w:val="Normal"/>
    <w:semiHidden/>
    <w:rsid w:val="004A4EEA"/>
    <w:pPr>
      <w:tabs>
        <w:tab w:val="right" w:leader="dot" w:pos="9072"/>
      </w:tabs>
      <w:ind w:left="970" w:hanging="403"/>
    </w:pPr>
    <w:rPr>
      <w:rFonts w:ascii="Times New Roman" w:hAnsi="Times New Roman"/>
      <w:b/>
    </w:rPr>
  </w:style>
  <w:style w:type="paragraph" w:styleId="ListNumber">
    <w:name w:val="List Number"/>
    <w:basedOn w:val="List"/>
    <w:rsid w:val="004A4EEA"/>
    <w:pPr>
      <w:numPr>
        <w:numId w:val="15"/>
      </w:numPr>
      <w:tabs>
        <w:tab w:val="clear" w:pos="340"/>
      </w:tabs>
    </w:pPr>
  </w:style>
  <w:style w:type="character" w:customStyle="1" w:styleId="WingdingSymbols">
    <w:name w:val="Wingding Symbols"/>
    <w:rsid w:val="004A4EEA"/>
    <w:rPr>
      <w:rFonts w:ascii="Wingdings" w:hAnsi="Wingdings"/>
    </w:rPr>
  </w:style>
  <w:style w:type="paragraph" w:customStyle="1" w:styleId="TableHeading">
    <w:name w:val="Table Heading"/>
    <w:basedOn w:val="HeadingBase"/>
    <w:rsid w:val="004A4EEA"/>
    <w:pPr>
      <w:keepLines/>
      <w:pBdr>
        <w:bottom w:val="single" w:sz="6" w:space="1" w:color="918585"/>
      </w:pBdr>
      <w:spacing w:before="240"/>
    </w:pPr>
  </w:style>
  <w:style w:type="character" w:customStyle="1" w:styleId="HotSpot">
    <w:name w:val="HotSpot"/>
    <w:rsid w:val="004A4EEA"/>
    <w:rPr>
      <w:color w:val="0033CC"/>
      <w:u w:val="none"/>
    </w:rPr>
  </w:style>
  <w:style w:type="paragraph" w:customStyle="1" w:styleId="BodyTextRight">
    <w:name w:val="Body Text Right"/>
    <w:basedOn w:val="BodyText"/>
    <w:rsid w:val="004A4EEA"/>
    <w:pPr>
      <w:spacing w:before="0" w:after="0"/>
      <w:jc w:val="right"/>
    </w:pPr>
  </w:style>
  <w:style w:type="paragraph" w:styleId="Index3">
    <w:name w:val="index 3"/>
    <w:basedOn w:val="ListNumber2"/>
    <w:next w:val="Normal"/>
    <w:semiHidden/>
    <w:rsid w:val="004A4EEA"/>
    <w:pPr>
      <w:numPr>
        <w:numId w:val="0"/>
      </w:numPr>
      <w:tabs>
        <w:tab w:val="right" w:leader="dot" w:pos="4176"/>
      </w:tabs>
    </w:pPr>
  </w:style>
  <w:style w:type="paragraph" w:styleId="ListNumber2">
    <w:name w:val="List Number 2"/>
    <w:basedOn w:val="List2"/>
    <w:rsid w:val="004A4EEA"/>
    <w:pPr>
      <w:numPr>
        <w:numId w:val="10"/>
      </w:numPr>
      <w:tabs>
        <w:tab w:val="clear" w:pos="1060"/>
      </w:tabs>
    </w:pPr>
  </w:style>
  <w:style w:type="paragraph" w:customStyle="1" w:styleId="MarginNote">
    <w:name w:val="Margin Note"/>
    <w:basedOn w:val="BodyText"/>
    <w:rsid w:val="004A4EE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A4EE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A4EE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A4EEA"/>
    <w:rPr>
      <w:sz w:val="32"/>
    </w:rPr>
  </w:style>
  <w:style w:type="paragraph" w:customStyle="1" w:styleId="HeadingProcedure">
    <w:name w:val="Heading Procedure"/>
    <w:basedOn w:val="HeadingBase"/>
    <w:next w:val="Normal"/>
    <w:rsid w:val="004A4EEA"/>
    <w:pPr>
      <w:tabs>
        <w:tab w:val="left" w:pos="0"/>
      </w:tabs>
      <w:spacing w:before="120" w:after="60"/>
    </w:pPr>
    <w:rPr>
      <w:i/>
      <w:color w:val="918585"/>
      <w:sz w:val="22"/>
    </w:rPr>
  </w:style>
  <w:style w:type="paragraph" w:customStyle="1" w:styleId="TableBodyText">
    <w:name w:val="Table Body Text"/>
    <w:basedOn w:val="BodyText"/>
    <w:rsid w:val="004A4EEA"/>
    <w:pPr>
      <w:spacing w:before="60" w:after="60"/>
    </w:pPr>
  </w:style>
  <w:style w:type="paragraph" w:styleId="ListContinue">
    <w:name w:val="List Continue"/>
    <w:basedOn w:val="List"/>
    <w:rsid w:val="004A4EEA"/>
    <w:pPr>
      <w:ind w:firstLine="0"/>
    </w:pPr>
  </w:style>
  <w:style w:type="paragraph" w:customStyle="1" w:styleId="ListNote">
    <w:name w:val="List Note"/>
    <w:basedOn w:val="List"/>
    <w:rsid w:val="004A4EEA"/>
    <w:pPr>
      <w:pBdr>
        <w:top w:val="single" w:sz="6" w:space="2" w:color="918585"/>
        <w:bottom w:val="single" w:sz="6" w:space="2" w:color="918585"/>
      </w:pBdr>
      <w:tabs>
        <w:tab w:val="left" w:pos="1021"/>
      </w:tabs>
      <w:ind w:firstLine="0"/>
    </w:pPr>
  </w:style>
  <w:style w:type="paragraph" w:customStyle="1" w:styleId="Warning">
    <w:name w:val="Warning"/>
    <w:basedOn w:val="BodyText"/>
    <w:rsid w:val="004A4EEA"/>
    <w:pPr>
      <w:shd w:val="clear" w:color="auto" w:fill="D9D9D9"/>
      <w:tabs>
        <w:tab w:val="left" w:pos="992"/>
      </w:tabs>
      <w:ind w:left="119" w:right="119"/>
    </w:pPr>
    <w:rPr>
      <w:sz w:val="20"/>
    </w:rPr>
  </w:style>
  <w:style w:type="paragraph" w:customStyle="1" w:styleId="MarginIcons">
    <w:name w:val="Margin Icons"/>
    <w:basedOn w:val="BodyText"/>
    <w:rsid w:val="004A4EE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A4EEA"/>
    <w:rPr>
      <w:rFonts w:ascii="Courier New" w:hAnsi="Courier New"/>
    </w:rPr>
  </w:style>
  <w:style w:type="paragraph" w:customStyle="1" w:styleId="NoteBullet">
    <w:name w:val="Note Bullet"/>
    <w:basedOn w:val="Note"/>
    <w:rsid w:val="004A4EEA"/>
    <w:pPr>
      <w:tabs>
        <w:tab w:val="clear" w:pos="680"/>
      </w:tabs>
      <w:spacing w:before="60" w:after="60"/>
    </w:pPr>
  </w:style>
  <w:style w:type="paragraph" w:customStyle="1" w:styleId="SubHeading2">
    <w:name w:val="SubHeading2"/>
    <w:basedOn w:val="HeadingBase"/>
    <w:rsid w:val="004A4EEA"/>
    <w:pPr>
      <w:spacing w:before="240" w:after="60"/>
    </w:pPr>
    <w:rPr>
      <w:sz w:val="20"/>
    </w:rPr>
  </w:style>
  <w:style w:type="paragraph" w:customStyle="1" w:styleId="SubHeading1">
    <w:name w:val="SubHeading1"/>
    <w:basedOn w:val="HeadingBase"/>
    <w:rsid w:val="004A4EEA"/>
    <w:pPr>
      <w:spacing w:before="240" w:after="60"/>
    </w:pPr>
    <w:rPr>
      <w:color w:val="918585"/>
      <w:sz w:val="22"/>
    </w:rPr>
  </w:style>
  <w:style w:type="paragraph" w:customStyle="1" w:styleId="SideHeading">
    <w:name w:val="Side Heading"/>
    <w:basedOn w:val="HeadingBase"/>
    <w:rsid w:val="004A4EE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A4EEA"/>
    <w:pPr>
      <w:tabs>
        <w:tab w:val="num" w:pos="360"/>
      </w:tabs>
    </w:pPr>
  </w:style>
  <w:style w:type="paragraph" w:styleId="PlainText">
    <w:name w:val="Plain Text"/>
    <w:basedOn w:val="Normal"/>
    <w:link w:val="PlainTextChar"/>
    <w:rsid w:val="004A4EEA"/>
    <w:rPr>
      <w:sz w:val="20"/>
    </w:rPr>
  </w:style>
  <w:style w:type="character" w:customStyle="1" w:styleId="PlainTextChar">
    <w:name w:val="Plain Text Char"/>
    <w:basedOn w:val="DefaultParagraphFont"/>
    <w:link w:val="PlainText"/>
    <w:rsid w:val="004A4EEA"/>
    <w:rPr>
      <w:rFonts w:ascii="Courier New" w:eastAsia="Times New Roman" w:hAnsi="Courier New" w:cs="Times New Roman"/>
      <w:sz w:val="20"/>
      <w:szCs w:val="20"/>
      <w:lang w:eastAsia="en-US"/>
    </w:rPr>
  </w:style>
  <w:style w:type="character" w:customStyle="1" w:styleId="MenuOption">
    <w:name w:val="Menu Option"/>
    <w:basedOn w:val="DefaultParagraphFont"/>
    <w:rsid w:val="004A4EEA"/>
    <w:rPr>
      <w:b/>
      <w:smallCaps/>
    </w:rPr>
  </w:style>
  <w:style w:type="paragraph" w:customStyle="1" w:styleId="TableListNumber">
    <w:name w:val="Table List Number"/>
    <w:basedOn w:val="ListNumber"/>
    <w:rsid w:val="004A4EEA"/>
    <w:pPr>
      <w:numPr>
        <w:numId w:val="0"/>
      </w:numPr>
    </w:pPr>
  </w:style>
  <w:style w:type="paragraph" w:styleId="TOC4">
    <w:name w:val="toc 4"/>
    <w:basedOn w:val="TOCBase"/>
    <w:next w:val="Normal"/>
    <w:semiHidden/>
    <w:rsid w:val="004A4EEA"/>
    <w:pPr>
      <w:tabs>
        <w:tab w:val="right" w:leader="dot" w:pos="9071"/>
      </w:tabs>
      <w:ind w:left="1701"/>
    </w:pPr>
  </w:style>
  <w:style w:type="paragraph" w:customStyle="1" w:styleId="ListAlpha">
    <w:name w:val="List Alpha"/>
    <w:basedOn w:val="List"/>
    <w:rsid w:val="004A4EEA"/>
    <w:pPr>
      <w:numPr>
        <w:numId w:val="9"/>
      </w:numPr>
    </w:pPr>
  </w:style>
  <w:style w:type="paragraph" w:customStyle="1" w:styleId="ListAlpha2">
    <w:name w:val="List Alpha 2"/>
    <w:basedOn w:val="List2"/>
    <w:rsid w:val="004A4EEA"/>
    <w:pPr>
      <w:numPr>
        <w:numId w:val="8"/>
      </w:numPr>
    </w:pPr>
  </w:style>
  <w:style w:type="paragraph" w:styleId="List2">
    <w:name w:val="List 2"/>
    <w:basedOn w:val="BodyText"/>
    <w:rsid w:val="004A4EEA"/>
    <w:pPr>
      <w:tabs>
        <w:tab w:val="left" w:pos="680"/>
      </w:tabs>
      <w:spacing w:before="60" w:after="60"/>
      <w:ind w:left="680" w:hanging="340"/>
    </w:pPr>
  </w:style>
  <w:style w:type="paragraph" w:styleId="List3">
    <w:name w:val="List 3"/>
    <w:basedOn w:val="BodyText"/>
    <w:rsid w:val="004A4EEA"/>
    <w:pPr>
      <w:tabs>
        <w:tab w:val="left" w:pos="1021"/>
      </w:tabs>
      <w:spacing w:before="60" w:after="60"/>
      <w:ind w:left="1020" w:hanging="340"/>
    </w:pPr>
  </w:style>
  <w:style w:type="paragraph" w:styleId="List4">
    <w:name w:val="List 4"/>
    <w:basedOn w:val="BodyText"/>
    <w:rsid w:val="004A4EEA"/>
    <w:pPr>
      <w:tabs>
        <w:tab w:val="left" w:pos="1361"/>
      </w:tabs>
      <w:spacing w:before="60" w:after="60"/>
      <w:ind w:left="1361" w:hanging="340"/>
    </w:pPr>
  </w:style>
  <w:style w:type="paragraph" w:styleId="List5">
    <w:name w:val="List 5"/>
    <w:basedOn w:val="BodyText"/>
    <w:rsid w:val="004A4EEA"/>
    <w:pPr>
      <w:tabs>
        <w:tab w:val="left" w:pos="1701"/>
      </w:tabs>
      <w:spacing w:before="60" w:after="60"/>
      <w:ind w:left="1701" w:hanging="340"/>
    </w:pPr>
  </w:style>
  <w:style w:type="paragraph" w:styleId="ListBullet3">
    <w:name w:val="List Bullet 3"/>
    <w:basedOn w:val="List3"/>
    <w:rsid w:val="004A4EEA"/>
    <w:pPr>
      <w:numPr>
        <w:numId w:val="14"/>
      </w:numPr>
      <w:tabs>
        <w:tab w:val="clear" w:pos="1021"/>
      </w:tabs>
      <w:ind w:left="1037" w:hanging="357"/>
    </w:pPr>
  </w:style>
  <w:style w:type="paragraph" w:styleId="ListBullet4">
    <w:name w:val="List Bullet 4"/>
    <w:basedOn w:val="List4"/>
    <w:rsid w:val="004A4EEA"/>
    <w:pPr>
      <w:numPr>
        <w:numId w:val="3"/>
      </w:numPr>
      <w:tabs>
        <w:tab w:val="clear" w:pos="1361"/>
      </w:tabs>
    </w:pPr>
  </w:style>
  <w:style w:type="paragraph" w:styleId="ListBullet5">
    <w:name w:val="List Bullet 5"/>
    <w:basedOn w:val="List5"/>
    <w:rsid w:val="004A4EEA"/>
    <w:pPr>
      <w:numPr>
        <w:numId w:val="4"/>
      </w:numPr>
    </w:pPr>
  </w:style>
  <w:style w:type="paragraph" w:styleId="ListContinue2">
    <w:name w:val="List Continue 2"/>
    <w:basedOn w:val="List2"/>
    <w:rsid w:val="004A4EEA"/>
    <w:pPr>
      <w:ind w:firstLine="0"/>
    </w:pPr>
  </w:style>
  <w:style w:type="paragraph" w:styleId="ListContinue3">
    <w:name w:val="List Continue 3"/>
    <w:basedOn w:val="List3"/>
    <w:rsid w:val="004A4EEA"/>
    <w:pPr>
      <w:ind w:left="1021" w:firstLine="0"/>
    </w:pPr>
  </w:style>
  <w:style w:type="paragraph" w:styleId="ListContinue4">
    <w:name w:val="List Continue 4"/>
    <w:basedOn w:val="List4"/>
    <w:rsid w:val="004A4EEA"/>
    <w:pPr>
      <w:ind w:firstLine="0"/>
    </w:pPr>
  </w:style>
  <w:style w:type="paragraph" w:styleId="ListContinue5">
    <w:name w:val="List Continue 5"/>
    <w:basedOn w:val="List5"/>
    <w:rsid w:val="004A4EEA"/>
    <w:pPr>
      <w:ind w:firstLine="0"/>
    </w:pPr>
  </w:style>
  <w:style w:type="paragraph" w:styleId="ListNumber3">
    <w:name w:val="List Number 3"/>
    <w:basedOn w:val="List3"/>
    <w:rsid w:val="004A4EEA"/>
    <w:pPr>
      <w:numPr>
        <w:numId w:val="5"/>
      </w:numPr>
    </w:pPr>
  </w:style>
  <w:style w:type="paragraph" w:styleId="ListNumber4">
    <w:name w:val="List Number 4"/>
    <w:basedOn w:val="List4"/>
    <w:rsid w:val="004A4EEA"/>
    <w:pPr>
      <w:numPr>
        <w:numId w:val="6"/>
      </w:numPr>
    </w:pPr>
  </w:style>
  <w:style w:type="paragraph" w:styleId="ListNumber5">
    <w:name w:val="List Number 5"/>
    <w:basedOn w:val="List5"/>
    <w:rsid w:val="004A4EEA"/>
    <w:pPr>
      <w:numPr>
        <w:numId w:val="7"/>
      </w:numPr>
    </w:pPr>
  </w:style>
  <w:style w:type="paragraph" w:styleId="BlockText">
    <w:name w:val="Block Text"/>
    <w:basedOn w:val="Normal"/>
    <w:rsid w:val="004A4EEA"/>
    <w:pPr>
      <w:spacing w:after="120"/>
      <w:ind w:left="1440" w:right="1440"/>
    </w:pPr>
  </w:style>
  <w:style w:type="character" w:customStyle="1" w:styleId="Subscript">
    <w:name w:val="Subscript"/>
    <w:basedOn w:val="DefaultParagraphFont"/>
    <w:rsid w:val="004A4EEA"/>
    <w:rPr>
      <w:sz w:val="16"/>
      <w:vertAlign w:val="subscript"/>
    </w:rPr>
  </w:style>
  <w:style w:type="character" w:customStyle="1" w:styleId="Superscript">
    <w:name w:val="Superscript"/>
    <w:basedOn w:val="DefaultParagraphFont"/>
    <w:rsid w:val="004A4EEA"/>
    <w:rPr>
      <w:sz w:val="16"/>
      <w:vertAlign w:val="superscript"/>
    </w:rPr>
  </w:style>
  <w:style w:type="character" w:customStyle="1" w:styleId="Symbols">
    <w:name w:val="Symbols"/>
    <w:basedOn w:val="DefaultParagraphFont"/>
    <w:rsid w:val="004A4EEA"/>
    <w:rPr>
      <w:rFonts w:ascii="Symbol" w:hAnsi="Symbol"/>
    </w:rPr>
  </w:style>
  <w:style w:type="character" w:customStyle="1" w:styleId="MenuOptions">
    <w:name w:val="Menu Options"/>
    <w:basedOn w:val="DefaultParagraphFont"/>
    <w:rsid w:val="004A4EEA"/>
    <w:rPr>
      <w:rFonts w:ascii="Arial Narrow" w:hAnsi="Arial Narrow"/>
      <w:smallCaps/>
    </w:rPr>
  </w:style>
  <w:style w:type="character" w:customStyle="1" w:styleId="Buttons">
    <w:name w:val="Buttons"/>
    <w:basedOn w:val="DefaultParagraphFont"/>
    <w:rsid w:val="004A4EEA"/>
    <w:rPr>
      <w:b/>
    </w:rPr>
  </w:style>
  <w:style w:type="character" w:customStyle="1" w:styleId="Underlined">
    <w:name w:val="Underlined"/>
    <w:basedOn w:val="DefaultParagraphFont"/>
    <w:rsid w:val="004A4EEA"/>
    <w:rPr>
      <w:u w:val="single"/>
    </w:rPr>
  </w:style>
  <w:style w:type="paragraph" w:customStyle="1" w:styleId="TableBodyTextRight">
    <w:name w:val="Table Body Text Right"/>
    <w:basedOn w:val="TableBodyText"/>
    <w:rsid w:val="004A4EEA"/>
    <w:pPr>
      <w:widowControl w:val="0"/>
      <w:autoSpaceDE w:val="0"/>
      <w:autoSpaceDN w:val="0"/>
      <w:adjustRightInd w:val="0"/>
      <w:jc w:val="right"/>
    </w:pPr>
    <w:rPr>
      <w:rFonts w:cs="Arial"/>
      <w:szCs w:val="18"/>
    </w:rPr>
  </w:style>
  <w:style w:type="paragraph" w:customStyle="1" w:styleId="CopyrightText">
    <w:name w:val="Copyright Text"/>
    <w:basedOn w:val="BodyText"/>
    <w:rsid w:val="004A4EEA"/>
    <w:rPr>
      <w:sz w:val="18"/>
    </w:rPr>
  </w:style>
  <w:style w:type="paragraph" w:customStyle="1" w:styleId="BodySmallRight">
    <w:name w:val="Body Small Right"/>
    <w:basedOn w:val="BodyTextRight"/>
    <w:rsid w:val="004A4EEA"/>
    <w:rPr>
      <w:sz w:val="18"/>
      <w:szCs w:val="18"/>
    </w:rPr>
  </w:style>
  <w:style w:type="paragraph" w:customStyle="1" w:styleId="MarginEdition">
    <w:name w:val="Margin Edition"/>
    <w:basedOn w:val="MarginNote"/>
    <w:rsid w:val="004A4EEA"/>
    <w:pPr>
      <w:spacing w:before="0" w:after="0"/>
    </w:pPr>
    <w:rPr>
      <w:rFonts w:ascii="Times New Roman" w:hAnsi="Times New Roman"/>
      <w:color w:val="999999"/>
    </w:rPr>
  </w:style>
  <w:style w:type="paragraph" w:customStyle="1" w:styleId="Spacer">
    <w:name w:val="Spacer"/>
    <w:basedOn w:val="Normal"/>
    <w:rsid w:val="004A4EEA"/>
    <w:rPr>
      <w:sz w:val="2"/>
      <w:szCs w:val="2"/>
    </w:rPr>
  </w:style>
  <w:style w:type="character" w:customStyle="1" w:styleId="Small">
    <w:name w:val="Small"/>
    <w:basedOn w:val="DefaultParagraphFont"/>
    <w:rsid w:val="004A4EEA"/>
    <w:rPr>
      <w:sz w:val="16"/>
    </w:rPr>
  </w:style>
  <w:style w:type="paragraph" w:customStyle="1" w:styleId="WideTable">
    <w:name w:val="Wide Table"/>
    <w:basedOn w:val="Normal"/>
    <w:rsid w:val="004A4EEA"/>
    <w:pPr>
      <w:ind w:left="-1418"/>
    </w:pPr>
    <w:rPr>
      <w:sz w:val="2"/>
      <w:szCs w:val="2"/>
    </w:rPr>
  </w:style>
  <w:style w:type="character" w:styleId="PageNumber">
    <w:name w:val="page number"/>
    <w:basedOn w:val="DefaultParagraphFont"/>
    <w:rsid w:val="004A4EEA"/>
  </w:style>
  <w:style w:type="paragraph" w:styleId="Quote">
    <w:name w:val="Quote"/>
    <w:basedOn w:val="Heading1"/>
    <w:link w:val="QuoteChar"/>
    <w:qFormat/>
    <w:rsid w:val="004A4EEA"/>
    <w:rPr>
      <w:b w:val="0"/>
      <w:sz w:val="72"/>
      <w:szCs w:val="72"/>
      <w:lang w:val="en-NZ"/>
    </w:rPr>
  </w:style>
  <w:style w:type="character" w:customStyle="1" w:styleId="QuoteChar">
    <w:name w:val="Quote Char"/>
    <w:basedOn w:val="DefaultParagraphFont"/>
    <w:link w:val="Quote"/>
    <w:rsid w:val="004A4EE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A4EEA"/>
    <w:pPr>
      <w:pageBreakBefore/>
    </w:pPr>
  </w:style>
  <w:style w:type="paragraph" w:customStyle="1" w:styleId="Border">
    <w:name w:val="Border"/>
    <w:basedOn w:val="Normal"/>
    <w:qFormat/>
    <w:rsid w:val="004A4EE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A4EEA"/>
    <w:rPr>
      <w:b/>
      <w:bCs/>
      <w:i/>
      <w:iCs/>
      <w:color w:val="auto"/>
    </w:rPr>
  </w:style>
  <w:style w:type="paragraph" w:styleId="IntenseQuote">
    <w:name w:val="Intense Quote"/>
    <w:basedOn w:val="Normal"/>
    <w:next w:val="Normal"/>
    <w:link w:val="IntenseQuoteChar"/>
    <w:uiPriority w:val="30"/>
    <w:qFormat/>
    <w:rsid w:val="004A4EE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A4EE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A4EEA"/>
    <w:rPr>
      <w:smallCaps/>
      <w:color w:val="auto"/>
      <w:u w:val="single"/>
    </w:rPr>
  </w:style>
  <w:style w:type="character" w:styleId="IntenseReference">
    <w:name w:val="Intense Reference"/>
    <w:basedOn w:val="DefaultParagraphFont"/>
    <w:uiPriority w:val="32"/>
    <w:qFormat/>
    <w:rsid w:val="004A4EEA"/>
    <w:rPr>
      <w:b/>
      <w:bCs/>
      <w:smallCaps/>
      <w:color w:val="auto"/>
      <w:spacing w:val="5"/>
      <w:u w:val="single"/>
    </w:rPr>
  </w:style>
  <w:style w:type="paragraph" w:customStyle="1" w:styleId="2ColumnHeading">
    <w:name w:val="2Column Heading"/>
    <w:basedOn w:val="BodyText"/>
    <w:qFormat/>
    <w:rsid w:val="004A4EEA"/>
    <w:pPr>
      <w:spacing w:after="60"/>
      <w:ind w:left="-2268"/>
    </w:pPr>
    <w:rPr>
      <w:b/>
    </w:rPr>
  </w:style>
  <w:style w:type="paragraph" w:customStyle="1" w:styleId="Heading1TOC">
    <w:name w:val="Heading1 TOC"/>
    <w:basedOn w:val="Normal"/>
    <w:qFormat/>
    <w:rsid w:val="004A4EEA"/>
    <w:pPr>
      <w:spacing w:before="240" w:after="120"/>
    </w:pPr>
    <w:rPr>
      <w:rFonts w:ascii="Times New Roman" w:hAnsi="Times New Roman"/>
      <w:b/>
      <w:sz w:val="32"/>
    </w:rPr>
  </w:style>
  <w:style w:type="paragraph" w:customStyle="1" w:styleId="Heading2TOC">
    <w:name w:val="Heading2 TOC"/>
    <w:basedOn w:val="Normal"/>
    <w:qFormat/>
    <w:rsid w:val="004A4EEA"/>
    <w:pPr>
      <w:spacing w:before="240" w:after="60"/>
    </w:pPr>
    <w:rPr>
      <w:rFonts w:ascii="Times New Roman" w:hAnsi="Times New Roman"/>
      <w:b/>
      <w:sz w:val="28"/>
    </w:rPr>
  </w:style>
  <w:style w:type="character" w:customStyle="1" w:styleId="Underline">
    <w:name w:val="Underline"/>
    <w:basedOn w:val="DefaultParagraphFont"/>
    <w:qFormat/>
    <w:rsid w:val="004A4EEA"/>
    <w:rPr>
      <w:u w:val="single"/>
    </w:rPr>
  </w:style>
  <w:style w:type="character" w:customStyle="1" w:styleId="BoldandItalics">
    <w:name w:val="Bold and Italics"/>
    <w:qFormat/>
    <w:rsid w:val="004A4EEA"/>
    <w:rPr>
      <w:b/>
      <w:i/>
      <w:u w:val="none"/>
    </w:rPr>
  </w:style>
  <w:style w:type="paragraph" w:styleId="BalloonText">
    <w:name w:val="Balloon Text"/>
    <w:basedOn w:val="Normal"/>
    <w:link w:val="BalloonTextChar"/>
    <w:rsid w:val="004A4EEA"/>
    <w:rPr>
      <w:rFonts w:ascii="Tahoma" w:hAnsi="Tahoma" w:cs="Tahoma"/>
      <w:sz w:val="16"/>
      <w:szCs w:val="16"/>
    </w:rPr>
  </w:style>
  <w:style w:type="character" w:customStyle="1" w:styleId="BalloonTextChar">
    <w:name w:val="Balloon Text Char"/>
    <w:basedOn w:val="DefaultParagraphFont"/>
    <w:link w:val="BalloonText"/>
    <w:rsid w:val="004A4EE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A4EE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A4EE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A4EEA"/>
    <w:rPr>
      <w:b/>
      <w:color w:val="660033"/>
      <w:spacing w:val="0"/>
    </w:rPr>
  </w:style>
  <w:style w:type="paragraph" w:customStyle="1" w:styleId="Nameditemlist">
    <w:name w:val="Named item list"/>
    <w:basedOn w:val="BodyText"/>
    <w:qFormat/>
    <w:rsid w:val="004A4EEA"/>
    <w:pPr>
      <w:tabs>
        <w:tab w:val="left" w:pos="2835"/>
      </w:tabs>
      <w:ind w:left="2835" w:hanging="2835"/>
    </w:pPr>
  </w:style>
  <w:style w:type="paragraph" w:customStyle="1" w:styleId="BodyTextnopadding">
    <w:name w:val="Body Text no padding"/>
    <w:basedOn w:val="BodyText"/>
    <w:qFormat/>
    <w:rsid w:val="004A4EEA"/>
    <w:pPr>
      <w:spacing w:before="0" w:after="0"/>
    </w:pPr>
  </w:style>
  <w:style w:type="paragraph" w:customStyle="1" w:styleId="BodyTextBold">
    <w:name w:val="Body Text Bold"/>
    <w:basedOn w:val="BodyText"/>
    <w:qFormat/>
    <w:rsid w:val="004A4EEA"/>
    <w:rPr>
      <w:b/>
    </w:rPr>
  </w:style>
  <w:style w:type="character" w:styleId="Hyperlink">
    <w:name w:val="Hyperlink"/>
    <w:basedOn w:val="DefaultParagraphFont"/>
    <w:uiPriority w:val="99"/>
    <w:unhideWhenUsed/>
    <w:rsid w:val="0034068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1110</Words>
  <Characters>7185</Characters>
  <Application>Microsoft Office Word</Application>
  <DocSecurity>0</DocSecurity>
  <Lines>266</Lines>
  <Paragraphs>143</Paragraphs>
  <ScaleCrop>false</ScaleCrop>
  <Company>Author-it Software Corporation Ltd.</Company>
  <LinksUpToDate>false</LinksUpToDate>
  <CharactersWithSpaces>8152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TLIF4100 Identify and meet rail safety regulatory compliance requirements</dc:title>
  <dc:subject>Approved</dc:subject>
  <dc:creator>Industry Skills Australia</dc:creator>
  <cp:keywords>Release: 2</cp:keywords>
  <dc:description>Review Date: 12 April 2008</dc:description>
  <cp:lastModifiedBy>HSD_TPCMSd.prod</cp:lastModifiedBy>
  <cp:revision>3</cp:revision>
  <dcterms:created xsi:type="dcterms:W3CDTF">2025-03-01T23:54:00Z</dcterms:created>
  <dcterms:modified xsi:type="dcterms:W3CDTF">2025-03-01T23:54:00Z</dcterms:modified>
</cp:coreProperties>
</file>