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4DE" w:rsidP="00174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TLIF4099 Develop an application for, or variation to, rail accreditation</w:t>
      </w:r>
      <w:r>
        <w:fldChar w:fldCharType="end"/>
      </w:r>
    </w:p>
    <w:p w:rsidR="001744DE" w:rsidP="001744DE">
      <w:pPr>
        <w:pStyle w:val="Version"/>
        <w:sectPr w:rsidSect="00001A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A73" w:rsidP="00001A73">
      <w:pPr>
        <w:pStyle w:val="SuperHeading"/>
      </w:pPr>
      <w:r w:rsidRPr="00001A73">
        <w:t>TLIF4099 Develop an application for, or variation to, rail accreditation</w:t>
      </w:r>
    </w:p>
    <w:p w:rsidR="00000000" w:rsidRPr="00001A73" w:rsidP="00001A73">
      <w:pPr>
        <w:pStyle w:val="Heading1"/>
      </w:pPr>
      <w:bookmarkStart w:id="1" w:name="O_752190"/>
      <w:bookmarkEnd w:id="1"/>
      <w:r w:rsidRPr="00001A73">
        <w:t>Modification History</w:t>
      </w:r>
    </w:p>
    <w:p w:rsidR="001744DE" w:rsidP="001744DE">
      <w:pPr>
        <w:pStyle w:val="BodyText"/>
      </w:pPr>
      <w:r w:rsidRPr="00001A73">
        <w:t>Release 1. This is the first release of this unit of competency in the TLI Transport and Logistics Training Package.</w:t>
      </w:r>
    </w:p>
    <w:p w:rsidR="00000000" w:rsidRPr="00001A73" w:rsidP="00001A73">
      <w:pPr>
        <w:pStyle w:val="Heading1"/>
      </w:pPr>
      <w:bookmarkStart w:id="2" w:name="O_752191"/>
      <w:bookmarkEnd w:id="2"/>
      <w:r w:rsidRPr="00001A7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A73" w:rsidP="00001A73">
            <w:pPr>
              <w:pStyle w:val="BodyText"/>
            </w:pPr>
            <w:r w:rsidRPr="00001A73">
              <w:t>This unit involves the skills and knowledge required to develop an application for or variation to rail safety accreditation.</w:t>
            </w:r>
          </w:p>
          <w:p w:rsidR="00000000" w:rsidRPr="00001A73" w:rsidP="00001A73">
            <w:pPr>
              <w:pStyle w:val="BodyText"/>
            </w:pPr>
            <w:r w:rsidRPr="00001A73">
              <w:t>This unit covers the requirements to develop an application for new rail transport operator accreditation and/or for a</w:t>
            </w:r>
            <w:r w:rsidRPr="00001A73">
              <w:t xml:space="preserve"> variation to current accreditation.</w:t>
            </w:r>
          </w:p>
          <w:p w:rsidR="00000000" w:rsidRPr="00001A73" w:rsidP="00001A73">
            <w:pPr>
              <w:pStyle w:val="BodyText"/>
            </w:pPr>
            <w:r w:rsidRPr="00001A73">
              <w:t>No licensing, legislative or certification requirements apply to this unit at the time of publication.</w:t>
            </w:r>
          </w:p>
        </w:tc>
      </w:tr>
    </w:tbl>
    <w:p w:rsidR="001744DE" w:rsidP="00001A73">
      <w:pPr>
        <w:pStyle w:val="BodyText"/>
      </w:pPr>
    </w:p>
    <w:p w:rsidR="001744DE" w:rsidP="00001A73">
      <w:pPr>
        <w:pStyle w:val="BodyText"/>
      </w:pPr>
    </w:p>
    <w:p w:rsidR="00000000" w:rsidRPr="00001A73" w:rsidP="00001A73">
      <w:pPr>
        <w:pStyle w:val="Heading1"/>
      </w:pPr>
      <w:bookmarkStart w:id="3" w:name="O_752192"/>
      <w:bookmarkEnd w:id="3"/>
      <w:r w:rsidRPr="00001A73">
        <w:t>Pre-requisite Unit</w:t>
      </w:r>
    </w:p>
    <w:p w:rsidR="00000000" w:rsidRPr="00001A73" w:rsidP="001744DE">
      <w:pPr>
        <w:pStyle w:val="BodyText"/>
      </w:pPr>
      <w:r w:rsidRPr="00001A73">
        <w:t>Not applicable.</w:t>
      </w:r>
    </w:p>
    <w:p w:rsidR="00000000" w:rsidRPr="00001A73" w:rsidP="00001A73">
      <w:pPr>
        <w:pStyle w:val="Heading1"/>
      </w:pPr>
      <w:bookmarkStart w:id="4" w:name="O_752193"/>
      <w:bookmarkEnd w:id="4"/>
      <w:r w:rsidRPr="00001A73">
        <w:t>Competency Field</w:t>
      </w:r>
    </w:p>
    <w:p w:rsidR="001744DE" w:rsidP="001744DE">
      <w:pPr>
        <w:pStyle w:val="BodyText"/>
      </w:pPr>
      <w:r w:rsidRPr="00001A73">
        <w:t>F – Safety Management</w:t>
      </w:r>
    </w:p>
    <w:p w:rsidR="00000000" w:rsidRPr="00001A73" w:rsidP="00001A73">
      <w:pPr>
        <w:pStyle w:val="Heading1"/>
      </w:pPr>
      <w:bookmarkStart w:id="5" w:name="O_752194"/>
      <w:bookmarkEnd w:id="5"/>
      <w:r w:rsidRPr="00001A73">
        <w:t>Unit Sector</w:t>
      </w:r>
    </w:p>
    <w:p w:rsidR="00000000" w:rsidRPr="00001A73" w:rsidP="001744DE">
      <w:pPr>
        <w:pStyle w:val="BodyText"/>
      </w:pPr>
      <w:r w:rsidRPr="00001A73">
        <w:t>Not applicable.</w:t>
      </w:r>
    </w:p>
    <w:p w:rsidR="00000000" w:rsidRPr="00001A73" w:rsidP="00001A73">
      <w:pPr>
        <w:pStyle w:val="Heading1"/>
      </w:pPr>
      <w:bookmarkStart w:id="6" w:name="O_752195"/>
      <w:bookmarkEnd w:id="6"/>
      <w:r w:rsidRPr="00001A7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1"/>
        <w:gridCol w:w="560"/>
        <w:gridCol w:w="6502"/>
      </w:tblGrid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A73" w:rsidP="00001A73">
            <w:pPr>
              <w:pStyle w:val="BodyText"/>
            </w:pPr>
            <w:r w:rsidRPr="00001A7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rPr>
                <w:rStyle w:val="SpecialBold"/>
              </w:rPr>
              <w:t>PERFORMANCE CRITERIA</w:t>
            </w:r>
          </w:p>
        </w:tc>
      </w:tr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Performance criteria describe the performance needed to demonstrate achievement of the element.</w:t>
            </w:r>
          </w:p>
        </w:tc>
      </w:tr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A73" w:rsidP="00001A73">
            <w:pPr>
              <w:pStyle w:val="BodyText"/>
            </w:pPr>
            <w:r w:rsidRPr="00001A7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rPr>
                <w:rStyle w:val="SpecialBold"/>
              </w:rPr>
              <w:t xml:space="preserve">Identify application requirements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Documentation and requirements relevant to the application for or variation to accreditation is accessed and interpre</w:t>
            </w:r>
            <w:r w:rsidRPr="00001A73">
              <w:t>ted</w:t>
            </w:r>
          </w:p>
        </w:tc>
      </w:tr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 xml:space="preserve">Policies and objectives that express the organisation’s commitment to regulatory </w:t>
            </w:r>
            <w:r w:rsidRPr="00001A73">
              <w:t>compliance management are developed</w:t>
            </w:r>
          </w:p>
        </w:tc>
      </w:tr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Plan is prepared for the development of compliance requirements</w:t>
            </w:r>
          </w:p>
        </w:tc>
      </w:tr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Required resources are identified and maintained to support the plan and approval from relevant personnel is gained</w:t>
            </w:r>
          </w:p>
        </w:tc>
      </w:tr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Framework for the regulatory compliance management system is established and implemented</w:t>
            </w:r>
          </w:p>
        </w:tc>
      </w:tr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Scope of proposed compliance requirements and resources is determined in consultation with relevant personnel and regulatory compliance is integrated into relevant documentation</w:t>
            </w:r>
          </w:p>
        </w:tc>
      </w:tr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Consultation process is documented, information on the regulatory compl</w:t>
            </w:r>
            <w:r w:rsidRPr="00001A73">
              <w:t>iance system and procedures is explained and ready access to this information by all relevant stakeholders is ensured</w:t>
            </w:r>
          </w:p>
        </w:tc>
      </w:tr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A73" w:rsidP="00001A73">
            <w:pPr>
              <w:pStyle w:val="BodyText"/>
            </w:pPr>
            <w:r w:rsidRPr="00001A7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rPr>
                <w:rStyle w:val="SpecialBold"/>
              </w:rPr>
              <w:t xml:space="preserve">Collate, compile and submit application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Relevant documentation relating to governance, scope of operations, safety management syst</w:t>
            </w:r>
            <w:r w:rsidRPr="00001A73">
              <w:t>em and procedures to meet application requirements is collected</w:t>
            </w:r>
          </w:p>
        </w:tc>
      </w:tr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Endorsement and sign off of documents by relevant authorising officers is ensured</w:t>
            </w:r>
          </w:p>
        </w:tc>
      </w:tr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Required resources to meet scope of operations are identified and documented</w:t>
            </w:r>
          </w:p>
        </w:tc>
      </w:tr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Completed application with supporting evidence is verified prior to sign off by senior management</w:t>
            </w:r>
          </w:p>
        </w:tc>
      </w:tr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Finalised application is submitted to relevant jurisdiction regulatory body</w:t>
            </w:r>
          </w:p>
        </w:tc>
      </w:tr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A73" w:rsidP="00001A73">
            <w:pPr>
              <w:pStyle w:val="BodyText"/>
            </w:pPr>
            <w:r w:rsidRPr="00001A73">
              <w:t>Requests for further details or additional information are acted upon in a timely manner</w:t>
            </w:r>
          </w:p>
        </w:tc>
      </w:tr>
    </w:tbl>
    <w:p w:rsidR="001744DE" w:rsidP="00001A73">
      <w:pPr>
        <w:pStyle w:val="BodyText"/>
      </w:pPr>
    </w:p>
    <w:p w:rsidR="001744DE" w:rsidP="00001A73">
      <w:pPr>
        <w:pStyle w:val="BodyText"/>
      </w:pPr>
    </w:p>
    <w:p w:rsidR="00000000" w:rsidRPr="00001A73" w:rsidP="00001A73">
      <w:pPr>
        <w:pStyle w:val="Heading1"/>
      </w:pPr>
      <w:bookmarkStart w:id="7" w:name="O_752196"/>
      <w:bookmarkEnd w:id="7"/>
      <w:r w:rsidRPr="00001A73">
        <w:t>Foundation Skills</w:t>
      </w:r>
    </w:p>
    <w:p w:rsidR="001744DE" w:rsidP="001744DE">
      <w:pPr>
        <w:pStyle w:val="BodyText"/>
      </w:pPr>
      <w:r w:rsidRPr="00001A73">
        <w:t>Foundation skills essential to performance are explicit in the performance criteria of this unit of competency.</w:t>
      </w:r>
    </w:p>
    <w:p w:rsidR="00000000" w:rsidRPr="00001A73" w:rsidP="00001A73">
      <w:pPr>
        <w:pStyle w:val="Heading1"/>
      </w:pPr>
      <w:bookmarkStart w:id="8" w:name="O_752197"/>
      <w:bookmarkEnd w:id="8"/>
      <w:r w:rsidRPr="00001A73">
        <w:t>Range of Conditions</w:t>
      </w:r>
    </w:p>
    <w:p w:rsidR="00000000" w:rsidRPr="00001A73" w:rsidP="001744DE">
      <w:pPr>
        <w:pStyle w:val="BodyText"/>
      </w:pPr>
      <w:r w:rsidRPr="00001A73">
        <w:t>Range is restricted to essential operating conditions and any other variables essential to the work environment.</w:t>
      </w:r>
    </w:p>
    <w:p w:rsidR="001744DE" w:rsidP="001744DE">
      <w:pPr>
        <w:pStyle w:val="BodyText"/>
      </w:pPr>
      <w:r w:rsidRPr="00001A73">
        <w:t>Non-essential conditions can be found in the Companion Volume Implementation Guide.</w:t>
      </w:r>
    </w:p>
    <w:p w:rsidR="00000000" w:rsidRPr="00001A73" w:rsidP="00001A73">
      <w:pPr>
        <w:pStyle w:val="Heading1"/>
      </w:pPr>
      <w:bookmarkStart w:id="9" w:name="O_752198"/>
      <w:bookmarkEnd w:id="9"/>
      <w:r w:rsidRPr="00001A73">
        <w:t>Unit Mapping Information</w:t>
      </w:r>
    </w:p>
    <w:p w:rsidR="001744DE" w:rsidP="001744DE">
      <w:pPr>
        <w:pStyle w:val="BodyText"/>
      </w:pPr>
      <w:r w:rsidRPr="00001A73">
        <w:t>This unit replaces and is equivalent to TLIF4099A Develop an application for, or variation to, rail accreditation.</w:t>
      </w:r>
    </w:p>
    <w:p w:rsidR="00000000" w:rsidRPr="00001A73" w:rsidP="00001A73">
      <w:pPr>
        <w:pStyle w:val="Heading1"/>
      </w:pPr>
      <w:bookmarkStart w:id="10" w:name="O_752205"/>
      <w:bookmarkEnd w:id="10"/>
      <w:r w:rsidRPr="00001A73">
        <w:t>Links</w:t>
      </w:r>
    </w:p>
    <w:p w:rsidR="00000000" w:rsidRPr="00001A73" w:rsidP="001744DE">
      <w:pPr>
        <w:pStyle w:val="BodyText"/>
      </w:pPr>
      <w:r w:rsidRPr="00001A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3417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01A73" w:rsidP="001744DE">
      <w:pPr>
        <w:pStyle w:val="BodyText"/>
        <w:sectPr w:rsidSect="00001A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1A73" w:rsidP="00001A73">
      <w:pPr>
        <w:pStyle w:val="SuperHeading"/>
      </w:pPr>
      <w:r w:rsidRPr="00001A73">
        <w:t>Assessment Requirements for TLIF4099 Develop an application for, or variation to, rail accreditation</w:t>
      </w:r>
    </w:p>
    <w:p w:rsidR="00000000" w:rsidRPr="00001A73" w:rsidP="00001A73">
      <w:pPr>
        <w:pStyle w:val="Heading1"/>
      </w:pPr>
      <w:bookmarkStart w:id="11" w:name="O_752200"/>
      <w:bookmarkEnd w:id="11"/>
      <w:r w:rsidRPr="00001A73">
        <w:t>Modification History</w:t>
      </w:r>
    </w:p>
    <w:p w:rsidR="001744DE" w:rsidP="001744DE">
      <w:pPr>
        <w:pStyle w:val="BodyText"/>
      </w:pPr>
      <w:r w:rsidRPr="00001A73">
        <w:t>Release 1. This i</w:t>
      </w:r>
      <w:r w:rsidRPr="00001A73">
        <w:t>s the first release of this unit of competency in the TLI Transport and Logistics Training Package.</w:t>
      </w:r>
    </w:p>
    <w:p w:rsidR="00000000" w:rsidRPr="00001A73" w:rsidP="00001A73">
      <w:pPr>
        <w:pStyle w:val="Heading1"/>
      </w:pPr>
      <w:bookmarkStart w:id="12" w:name="O_752201"/>
      <w:bookmarkEnd w:id="12"/>
      <w:r w:rsidRPr="00001A73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>Evidence required to demonstrate competence in this unit must be relevant to and satisfy all of the requirements of t</w:t>
            </w:r>
            <w:r w:rsidRPr="00001A73">
              <w:t>he elements and performance criteria on at least one occasion and include:</w:t>
            </w:r>
          </w:p>
        </w:tc>
      </w:tr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A73" w:rsidP="00001A73">
            <w:pPr>
              <w:pStyle w:val="ListBullet2"/>
            </w:pPr>
            <w:r w:rsidRPr="00001A73">
              <w:t>adapting to changes in legislation and regulations as they relate to rail accreditation application activities</w:t>
            </w:r>
          </w:p>
          <w:p w:rsidR="00000000" w:rsidRPr="00001A73" w:rsidP="00001A73">
            <w:pPr>
              <w:pStyle w:val="ListBullet2"/>
            </w:pPr>
            <w:r w:rsidRPr="00001A73">
              <w:t>applying relevant legislation and workplace procedures</w:t>
            </w:r>
          </w:p>
          <w:p w:rsidR="00000000" w:rsidRPr="00001A73" w:rsidP="00001A73">
            <w:pPr>
              <w:pStyle w:val="ListBullet2"/>
            </w:pPr>
            <w:r w:rsidRPr="00001A73">
              <w:t xml:space="preserve">communicating effectively with others </w:t>
            </w:r>
          </w:p>
          <w:p w:rsidR="00000000" w:rsidRPr="00001A73" w:rsidP="00001A73">
            <w:pPr>
              <w:pStyle w:val="ListBullet2"/>
            </w:pPr>
            <w:r w:rsidRPr="00001A73">
              <w:t>developing a new application, exemption, notification of change or variation to an accreditation</w:t>
            </w:r>
          </w:p>
          <w:p w:rsidR="00000000" w:rsidRPr="00001A73" w:rsidP="00001A73">
            <w:pPr>
              <w:pStyle w:val="ListBullet2"/>
            </w:pPr>
            <w:r w:rsidRPr="00001A73">
              <w:t xml:space="preserve">identifying relevant internal and external contact people </w:t>
            </w:r>
          </w:p>
          <w:p w:rsidR="00000000" w:rsidRPr="00001A73" w:rsidP="00001A73">
            <w:pPr>
              <w:pStyle w:val="ListBullet2"/>
            </w:pPr>
            <w:r w:rsidRPr="00001A73">
              <w:t xml:space="preserve">reading and interpreting relevant documentation </w:t>
            </w:r>
          </w:p>
          <w:p w:rsidR="00000000" w:rsidRPr="00001A73" w:rsidP="00001A73">
            <w:pPr>
              <w:pStyle w:val="ListBullet2"/>
            </w:pPr>
            <w:r w:rsidRPr="00001A73">
              <w:t>working coll</w:t>
            </w:r>
            <w:r w:rsidRPr="00001A73">
              <w:t>aboratively with employees and management.</w:t>
            </w:r>
          </w:p>
        </w:tc>
      </w:tr>
    </w:tbl>
    <w:p w:rsidR="00000000" w:rsidRPr="00001A73" w:rsidP="00001A73">
      <w:pPr>
        <w:pStyle w:val="BodyText"/>
      </w:pPr>
    </w:p>
    <w:p w:rsidR="00000000" w:rsidRPr="00001A73" w:rsidP="00001A73">
      <w:pPr>
        <w:pStyle w:val="AllowPageBreak"/>
      </w:pPr>
    </w:p>
    <w:p w:rsidR="00000000" w:rsidRPr="00001A73" w:rsidP="00001A73">
      <w:pPr>
        <w:pStyle w:val="Heading1"/>
      </w:pPr>
      <w:bookmarkStart w:id="13" w:name="O_752202"/>
      <w:bookmarkEnd w:id="13"/>
      <w:r w:rsidRPr="00001A73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73">
            <w:pPr>
              <w:pStyle w:val="BodyText"/>
              <w:rPr>
                <w:lang w:val="en-NZ"/>
              </w:rPr>
            </w:pPr>
            <w:r w:rsidRPr="00001A73">
              <w:t xml:space="preserve">Evidence required to demonstrate competence in this unit must be relevant to and satisfy all of the requirements of the elements and performance criteria and </w:t>
            </w:r>
            <w:r w:rsidRPr="00001A73">
              <w:t>include knowledge of:</w:t>
            </w:r>
          </w:p>
        </w:tc>
      </w:tr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A73" w:rsidP="00001A73">
            <w:pPr>
              <w:pStyle w:val="ListBullet2"/>
            </w:pPr>
            <w:r w:rsidRPr="00001A73">
              <w:t>components of and policies and procedures related to rail accreditation systems</w:t>
            </w:r>
          </w:p>
          <w:p w:rsidR="00000000" w:rsidRPr="00001A73" w:rsidP="00001A73">
            <w:pPr>
              <w:pStyle w:val="ListBullet2"/>
            </w:pPr>
            <w:r w:rsidRPr="00001A73">
              <w:t>organisational systems for risk management and risk mitigation</w:t>
            </w:r>
          </w:p>
          <w:p w:rsidR="00000000" w:rsidRPr="00001A73" w:rsidP="00001A73">
            <w:pPr>
              <w:pStyle w:val="ListBullet2"/>
            </w:pPr>
            <w:r w:rsidRPr="00001A73">
              <w:t>relevant legislation, regulations, permit and licence requirements related to rail accred</w:t>
            </w:r>
            <w:r w:rsidRPr="00001A73">
              <w:t>itation and rail safety management systems</w:t>
            </w:r>
          </w:p>
          <w:p w:rsidR="00000000" w:rsidRPr="00001A73" w:rsidP="00001A73">
            <w:pPr>
              <w:pStyle w:val="ListBullet2"/>
            </w:pPr>
            <w:r w:rsidRPr="00001A73">
              <w:t>responsibilities of organisation and individual employees related to rail accreditation systems</w:t>
            </w:r>
          </w:p>
          <w:p w:rsidR="00000000" w:rsidRPr="00001A73" w:rsidP="00001A73">
            <w:pPr>
              <w:pStyle w:val="ListBullet2"/>
            </w:pPr>
            <w:r w:rsidRPr="00001A73">
              <w:t>workplace procedures and instructions for notifiable occurrence reports.</w:t>
            </w:r>
          </w:p>
        </w:tc>
      </w:tr>
    </w:tbl>
    <w:p w:rsidR="00000000" w:rsidRPr="00001A73" w:rsidP="00001A73">
      <w:pPr>
        <w:pStyle w:val="BodyText"/>
      </w:pPr>
    </w:p>
    <w:p w:rsidR="00000000" w:rsidRPr="00001A73" w:rsidP="00001A73">
      <w:pPr>
        <w:pStyle w:val="AllowPageBreak"/>
      </w:pPr>
    </w:p>
    <w:p w:rsidR="00000000" w:rsidRPr="00001A73" w:rsidP="00001A73">
      <w:pPr>
        <w:pStyle w:val="Heading1"/>
      </w:pPr>
      <w:bookmarkStart w:id="14" w:name="O_752203"/>
      <w:bookmarkEnd w:id="14"/>
      <w:r w:rsidRPr="00001A73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744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A73" w:rsidP="00001A73">
            <w:pPr>
              <w:pStyle w:val="BodyText"/>
            </w:pPr>
            <w:r w:rsidRPr="00001A73">
              <w:t xml:space="preserve">As a minimum, assessors must satisfy applicable regulatory requirements, which include requirements in the </w:t>
            </w:r>
            <w:r w:rsidRPr="00001A73">
              <w:rPr>
                <w:rStyle w:val="Emphasis"/>
              </w:rPr>
              <w:t>Standards for Registered Training Organisations</w:t>
            </w:r>
            <w:r w:rsidRPr="00001A73">
              <w:t xml:space="preserve"> current at the time of assessment. </w:t>
            </w:r>
          </w:p>
          <w:p w:rsidR="00000000" w:rsidRPr="00001A73" w:rsidP="00001A73">
            <w:pPr>
              <w:pStyle w:val="BodyText"/>
            </w:pPr>
            <w:r w:rsidRPr="00001A73">
              <w:t>As a minimum, assessment must satisfy applicable regulatory requi</w:t>
            </w:r>
            <w:r w:rsidRPr="00001A73">
              <w:t xml:space="preserve">rements, which include requirements in the </w:t>
            </w:r>
            <w:r w:rsidRPr="00001A73">
              <w:rPr>
                <w:rStyle w:val="Emphasis"/>
              </w:rPr>
              <w:t>Standards for Registered Training Organisations</w:t>
            </w:r>
            <w:r w:rsidRPr="00001A73">
              <w:t xml:space="preserve"> current at the time of assessment.</w:t>
            </w:r>
          </w:p>
          <w:p w:rsidR="00000000" w:rsidRPr="00001A73" w:rsidP="00001A73">
            <w:pPr>
              <w:pStyle w:val="BodyText"/>
            </w:pPr>
            <w:r w:rsidRPr="00001A73">
              <w:t>Assessment must occur in workplace operational situations or, where this is not available, in simulated workplace operational situ</w:t>
            </w:r>
            <w:r w:rsidRPr="00001A73">
              <w:t>ations that replicate rail workplace conditions.</w:t>
            </w:r>
          </w:p>
          <w:p w:rsidR="00000000" w:rsidRPr="00001A73" w:rsidP="00001A73">
            <w:pPr>
              <w:pStyle w:val="BodyText"/>
            </w:pPr>
            <w:r w:rsidRPr="00001A7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01A73" w:rsidP="00001A73">
            <w:pPr>
              <w:pStyle w:val="BodyText"/>
            </w:pPr>
            <w:r w:rsidRPr="00001A73">
              <w:t>Resources for assessment include:</w:t>
            </w:r>
          </w:p>
          <w:p w:rsidR="00000000" w:rsidRPr="00001A73" w:rsidP="00001A73">
            <w:pPr>
              <w:pStyle w:val="ListBullet"/>
            </w:pPr>
            <w:r w:rsidRPr="00001A73">
              <w:t>a ra</w:t>
            </w:r>
            <w:r w:rsidRPr="00001A73">
              <w:t>nge of relevant exercises, case studies and/or simulations</w:t>
            </w:r>
          </w:p>
          <w:p w:rsidR="00000000" w:rsidRPr="00001A73" w:rsidP="00001A73">
            <w:pPr>
              <w:pStyle w:val="ListBullet"/>
            </w:pPr>
            <w:r w:rsidRPr="00001A73">
              <w:t>relevant and appropriate materials, tools, equipment and personal protective equipment currently used in industry</w:t>
            </w:r>
          </w:p>
          <w:p w:rsidR="00000000" w:rsidRPr="00001A73" w:rsidP="00001A73">
            <w:pPr>
              <w:pStyle w:val="ListBullet"/>
            </w:pPr>
            <w:r w:rsidRPr="00001A73">
              <w:t>applicable documentation including workplace procedures, regulations, codes of prac</w:t>
            </w:r>
            <w:r w:rsidRPr="00001A73">
              <w:t>tice and operation manuals.</w:t>
            </w:r>
          </w:p>
        </w:tc>
      </w:tr>
    </w:tbl>
    <w:p w:rsidR="00000000" w:rsidRPr="00001A73" w:rsidP="00001A73">
      <w:pPr>
        <w:pStyle w:val="BodyText"/>
      </w:pPr>
    </w:p>
    <w:p w:rsidR="00000000" w:rsidRPr="00001A73" w:rsidP="00001A73">
      <w:pPr>
        <w:pStyle w:val="AllowPageBreak"/>
      </w:pPr>
    </w:p>
    <w:p w:rsidR="00000000" w:rsidRPr="00001A73" w:rsidP="00001A73">
      <w:pPr>
        <w:pStyle w:val="Heading1"/>
      </w:pPr>
      <w:bookmarkStart w:id="15" w:name="O_752206"/>
      <w:bookmarkEnd w:id="15"/>
      <w:r w:rsidRPr="00001A73">
        <w:t>Links</w:t>
      </w:r>
    </w:p>
    <w:p w:rsidR="00000000" w:rsidRPr="00001A73" w:rsidP="001744DE">
      <w:pPr>
        <w:pStyle w:val="BodyText"/>
      </w:pPr>
      <w:r w:rsidRPr="00001A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3417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01A73" w:rsidP="00001A73"/>
    <w:sectPr w:rsidSect="00001A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73" w:rsidRPr="001744DE" w:rsidP="00174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DE" w:rsidP="00001A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44DE" w:rsidP="00001A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744DE" w:rsidP="00001A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73" w:rsidP="00001A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44DE">
      <w:t>Approved</w:t>
    </w:r>
    <w:r w:rsidR="001744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44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44DE">
      <w:rPr>
        <w:noProof/>
      </w:rPr>
      <w:t>4</w:t>
    </w:r>
    <w:r>
      <w:rPr>
        <w:noProof/>
      </w:rPr>
      <w:fldChar w:fldCharType="end"/>
    </w:r>
  </w:p>
  <w:p w:rsidR="00001A73" w:rsidP="00001A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44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44DE">
      <w:t>Industry Skills Australia</w:t>
    </w:r>
    <w:r w:rsidR="001744DE">
      <w:fldChar w:fldCharType="end"/>
    </w:r>
  </w:p>
  <w:p w:rsidR="00001A73" w:rsidP="00001A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A73" w:rsidRPr="001744DE" w:rsidP="001744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DE" w:rsidRPr="002D2AF8" w:rsidP="00001A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TLIF4099 Develop an application for, or variation to, rail accreditation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44DE" w:rsidP="00001A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73" w:rsidRPr="002D2AF8" w:rsidP="00001A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44DE">
      <w:t>TLIF4099 Develop an application for, or variation to, rail accreditation</w:t>
    </w:r>
    <w:r w:rsidR="001744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44DE">
      <w:rPr>
        <w:noProof/>
      </w:rPr>
      <w:t>2 March 2025</w:t>
    </w:r>
    <w:r>
      <w:fldChar w:fldCharType="end"/>
    </w:r>
  </w:p>
  <w:p w:rsidR="00001A73" w:rsidP="00001A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E45D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844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04F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A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A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A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A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A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A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A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A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A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A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A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A73"/>
  </w:style>
  <w:style w:type="character" w:customStyle="1" w:styleId="Heading1Char">
    <w:name w:val="Heading 1 Char"/>
    <w:basedOn w:val="DefaultParagraphFont"/>
    <w:link w:val="Heading1"/>
    <w:rsid w:val="00001A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A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A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A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1A73"/>
    <w:rPr>
      <w:b/>
      <w:spacing w:val="0"/>
    </w:rPr>
  </w:style>
  <w:style w:type="paragraph" w:styleId="ListBullet2">
    <w:name w:val="List Bullet 2"/>
    <w:basedOn w:val="List2"/>
    <w:rsid w:val="00001A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1A73"/>
    <w:rPr>
      <w:i/>
    </w:rPr>
  </w:style>
  <w:style w:type="paragraph" w:customStyle="1" w:styleId="SuperHeading">
    <w:name w:val="SuperHeading"/>
    <w:basedOn w:val="Normal"/>
    <w:rsid w:val="00001A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A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A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A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A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A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A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A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A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A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A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A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A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A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A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A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A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A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A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A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A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1A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A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A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1A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A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A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A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A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A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A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A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A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1A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A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A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A73"/>
  </w:style>
  <w:style w:type="paragraph" w:styleId="TableofFigures">
    <w:name w:val="table of figures"/>
    <w:basedOn w:val="Normal"/>
    <w:next w:val="Normal"/>
    <w:semiHidden/>
    <w:rsid w:val="00001A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A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1A73"/>
    <w:rPr>
      <w:rFonts w:ascii="Wingdings" w:hAnsi="Wingdings"/>
    </w:rPr>
  </w:style>
  <w:style w:type="paragraph" w:customStyle="1" w:styleId="TableHeading">
    <w:name w:val="Table Heading"/>
    <w:basedOn w:val="HeadingBase"/>
    <w:rsid w:val="00001A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A73"/>
    <w:rPr>
      <w:color w:val="0033CC"/>
      <w:u w:val="none"/>
    </w:rPr>
  </w:style>
  <w:style w:type="paragraph" w:customStyle="1" w:styleId="BodyTextRight">
    <w:name w:val="Body Text Right"/>
    <w:basedOn w:val="BodyText"/>
    <w:rsid w:val="00001A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A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A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A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A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A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A73"/>
    <w:rPr>
      <w:sz w:val="32"/>
    </w:rPr>
  </w:style>
  <w:style w:type="paragraph" w:customStyle="1" w:styleId="HeadingProcedure">
    <w:name w:val="Heading Procedure"/>
    <w:basedOn w:val="HeadingBase"/>
    <w:next w:val="Normal"/>
    <w:rsid w:val="00001A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A73"/>
    <w:pPr>
      <w:spacing w:before="60" w:after="60"/>
    </w:pPr>
  </w:style>
  <w:style w:type="paragraph" w:styleId="ListContinue">
    <w:name w:val="List Continue"/>
    <w:basedOn w:val="List"/>
    <w:rsid w:val="00001A73"/>
    <w:pPr>
      <w:ind w:firstLine="0"/>
    </w:pPr>
  </w:style>
  <w:style w:type="paragraph" w:customStyle="1" w:styleId="ListNote">
    <w:name w:val="List Note"/>
    <w:basedOn w:val="List"/>
    <w:rsid w:val="00001A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A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A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A73"/>
    <w:rPr>
      <w:rFonts w:ascii="Courier New" w:hAnsi="Courier New"/>
    </w:rPr>
  </w:style>
  <w:style w:type="paragraph" w:customStyle="1" w:styleId="NoteBullet">
    <w:name w:val="Note Bullet"/>
    <w:basedOn w:val="Note"/>
    <w:rsid w:val="00001A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A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A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A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A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1A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A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A73"/>
    <w:rPr>
      <w:b/>
      <w:smallCaps/>
    </w:rPr>
  </w:style>
  <w:style w:type="paragraph" w:customStyle="1" w:styleId="TableListNumber">
    <w:name w:val="Table List Number"/>
    <w:basedOn w:val="ListNumber"/>
    <w:rsid w:val="00001A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A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A73"/>
    <w:pPr>
      <w:numPr>
        <w:numId w:val="9"/>
      </w:numPr>
    </w:pPr>
  </w:style>
  <w:style w:type="paragraph" w:customStyle="1" w:styleId="ListAlpha2">
    <w:name w:val="List Alpha 2"/>
    <w:basedOn w:val="List2"/>
    <w:rsid w:val="00001A73"/>
    <w:pPr>
      <w:numPr>
        <w:numId w:val="8"/>
      </w:numPr>
    </w:pPr>
  </w:style>
  <w:style w:type="paragraph" w:styleId="List2">
    <w:name w:val="List 2"/>
    <w:basedOn w:val="BodyText"/>
    <w:rsid w:val="00001A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A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A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A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A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A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1A73"/>
    <w:pPr>
      <w:numPr>
        <w:numId w:val="4"/>
      </w:numPr>
    </w:pPr>
  </w:style>
  <w:style w:type="paragraph" w:styleId="ListContinue2">
    <w:name w:val="List Continue 2"/>
    <w:basedOn w:val="List2"/>
    <w:rsid w:val="00001A73"/>
    <w:pPr>
      <w:ind w:firstLine="0"/>
    </w:pPr>
  </w:style>
  <w:style w:type="paragraph" w:styleId="ListContinue3">
    <w:name w:val="List Continue 3"/>
    <w:basedOn w:val="List3"/>
    <w:rsid w:val="00001A73"/>
    <w:pPr>
      <w:ind w:left="1021" w:firstLine="0"/>
    </w:pPr>
  </w:style>
  <w:style w:type="paragraph" w:styleId="ListContinue4">
    <w:name w:val="List Continue 4"/>
    <w:basedOn w:val="List4"/>
    <w:rsid w:val="00001A73"/>
    <w:pPr>
      <w:ind w:firstLine="0"/>
    </w:pPr>
  </w:style>
  <w:style w:type="paragraph" w:styleId="ListContinue5">
    <w:name w:val="List Continue 5"/>
    <w:basedOn w:val="List5"/>
    <w:rsid w:val="00001A73"/>
    <w:pPr>
      <w:ind w:firstLine="0"/>
    </w:pPr>
  </w:style>
  <w:style w:type="paragraph" w:styleId="ListNumber3">
    <w:name w:val="List Number 3"/>
    <w:basedOn w:val="List3"/>
    <w:rsid w:val="00001A73"/>
    <w:pPr>
      <w:numPr>
        <w:numId w:val="5"/>
      </w:numPr>
    </w:pPr>
  </w:style>
  <w:style w:type="paragraph" w:styleId="ListNumber4">
    <w:name w:val="List Number 4"/>
    <w:basedOn w:val="List4"/>
    <w:rsid w:val="00001A73"/>
    <w:pPr>
      <w:numPr>
        <w:numId w:val="6"/>
      </w:numPr>
    </w:pPr>
  </w:style>
  <w:style w:type="paragraph" w:styleId="ListNumber5">
    <w:name w:val="List Number 5"/>
    <w:basedOn w:val="List5"/>
    <w:rsid w:val="00001A73"/>
    <w:pPr>
      <w:numPr>
        <w:numId w:val="7"/>
      </w:numPr>
    </w:pPr>
  </w:style>
  <w:style w:type="paragraph" w:styleId="BlockText">
    <w:name w:val="Block Text"/>
    <w:basedOn w:val="Normal"/>
    <w:rsid w:val="00001A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A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A73"/>
    <w:rPr>
      <w:sz w:val="16"/>
      <w:vertAlign w:val="superscript"/>
    </w:rPr>
  </w:style>
  <w:style w:type="character" w:customStyle="1" w:styleId="Symbols">
    <w:name w:val="Symbols"/>
    <w:basedOn w:val="DefaultParagraphFont"/>
    <w:rsid w:val="00001A73"/>
    <w:rPr>
      <w:rFonts w:ascii="Symbol" w:hAnsi="Symbol"/>
    </w:rPr>
  </w:style>
  <w:style w:type="character" w:customStyle="1" w:styleId="MenuOptions">
    <w:name w:val="Menu Options"/>
    <w:basedOn w:val="DefaultParagraphFont"/>
    <w:rsid w:val="00001A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A73"/>
    <w:rPr>
      <w:b/>
    </w:rPr>
  </w:style>
  <w:style w:type="character" w:customStyle="1" w:styleId="Underlined">
    <w:name w:val="Underlined"/>
    <w:basedOn w:val="DefaultParagraphFont"/>
    <w:rsid w:val="00001A73"/>
    <w:rPr>
      <w:u w:val="single"/>
    </w:rPr>
  </w:style>
  <w:style w:type="paragraph" w:customStyle="1" w:styleId="TableBodyTextRight">
    <w:name w:val="Table Body Text Right"/>
    <w:basedOn w:val="TableBodyText"/>
    <w:rsid w:val="00001A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A73"/>
    <w:rPr>
      <w:sz w:val="18"/>
    </w:rPr>
  </w:style>
  <w:style w:type="paragraph" w:customStyle="1" w:styleId="BodySmallRight">
    <w:name w:val="Body Small Right"/>
    <w:basedOn w:val="BodyTextRight"/>
    <w:rsid w:val="00001A73"/>
    <w:rPr>
      <w:sz w:val="18"/>
      <w:szCs w:val="18"/>
    </w:rPr>
  </w:style>
  <w:style w:type="paragraph" w:customStyle="1" w:styleId="MarginEdition">
    <w:name w:val="Margin Edition"/>
    <w:basedOn w:val="MarginNote"/>
    <w:rsid w:val="00001A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A73"/>
    <w:rPr>
      <w:sz w:val="2"/>
      <w:szCs w:val="2"/>
    </w:rPr>
  </w:style>
  <w:style w:type="character" w:customStyle="1" w:styleId="Small">
    <w:name w:val="Small"/>
    <w:basedOn w:val="DefaultParagraphFont"/>
    <w:rsid w:val="00001A73"/>
    <w:rPr>
      <w:sz w:val="16"/>
    </w:rPr>
  </w:style>
  <w:style w:type="paragraph" w:customStyle="1" w:styleId="WideTable">
    <w:name w:val="Wide Table"/>
    <w:basedOn w:val="Normal"/>
    <w:rsid w:val="00001A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A73"/>
  </w:style>
  <w:style w:type="paragraph" w:styleId="Quote">
    <w:name w:val="Quote"/>
    <w:basedOn w:val="Heading1"/>
    <w:link w:val="QuoteChar"/>
    <w:qFormat/>
    <w:rsid w:val="00001A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A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A73"/>
    <w:pPr>
      <w:pageBreakBefore/>
    </w:pPr>
  </w:style>
  <w:style w:type="paragraph" w:customStyle="1" w:styleId="Border">
    <w:name w:val="Border"/>
    <w:basedOn w:val="Normal"/>
    <w:qFormat/>
    <w:rsid w:val="00001A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A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A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A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A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A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A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A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A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A73"/>
    <w:rPr>
      <w:u w:val="single"/>
    </w:rPr>
  </w:style>
  <w:style w:type="character" w:customStyle="1" w:styleId="BoldandItalics">
    <w:name w:val="Bold and Italics"/>
    <w:qFormat/>
    <w:rsid w:val="00001A73"/>
    <w:rPr>
      <w:b/>
      <w:i/>
      <w:u w:val="none"/>
    </w:rPr>
  </w:style>
  <w:style w:type="paragraph" w:styleId="BalloonText">
    <w:name w:val="Balloon Text"/>
    <w:basedOn w:val="Normal"/>
    <w:link w:val="BalloonTextChar"/>
    <w:rsid w:val="00001A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A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A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A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A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A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A73"/>
    <w:pPr>
      <w:spacing w:before="0" w:after="0"/>
    </w:pPr>
  </w:style>
  <w:style w:type="paragraph" w:customStyle="1" w:styleId="BodyTextBold">
    <w:name w:val="Body Text Bold"/>
    <w:basedOn w:val="BodyText"/>
    <w:qFormat/>
    <w:rsid w:val="00001A73"/>
    <w:rPr>
      <w:b/>
    </w:rPr>
  </w:style>
  <w:style w:type="character" w:styleId="Hyperlink">
    <w:name w:val="Hyperlink"/>
    <w:basedOn w:val="DefaultParagraphFont"/>
    <w:uiPriority w:val="99"/>
    <w:unhideWhenUsed/>
    <w:rsid w:val="001744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5493</Characters>
  <Application>Microsoft Office Word</Application>
  <DocSecurity>0</DocSecurity>
  <Lines>177</Lines>
  <Paragraphs>107</Paragraphs>
  <ScaleCrop>false</ScaleCrop>
  <Company>Author-it Software Corporation Ltd.</Company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TLIF4099 Develop an application for, or variation to, rail accreditation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2025-03-02T03:03:00Z</dcterms:created>
  <dcterms:modified xsi:type="dcterms:W3CDTF">2025-03-02T03:03:00Z</dcterms:modified>
</cp:coreProperties>
</file>