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A5A" w:rsidP="00594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TLIF4066 Implement and supervise transport regulations compliance systems</w:t>
      </w:r>
      <w:r>
        <w:fldChar w:fldCharType="end"/>
      </w:r>
    </w:p>
    <w:p w:rsidR="00594A5A" w:rsidP="00594A5A">
      <w:pPr>
        <w:pStyle w:val="Version"/>
        <w:sectPr w:rsidSect="009C6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63EE" w:rsidP="009C63EE">
      <w:pPr>
        <w:pStyle w:val="SuperHeading"/>
      </w:pPr>
      <w:r w:rsidRPr="009C63EE">
        <w:t>Assessment Requirements for TLIF4066 Implement and supervise transport regulations compliance systems</w:t>
      </w:r>
    </w:p>
    <w:p w:rsidR="00000000" w:rsidRPr="009C63EE" w:rsidP="009C63EE">
      <w:pPr>
        <w:pStyle w:val="Heading1"/>
      </w:pPr>
      <w:bookmarkStart w:id="1" w:name="O_1195946"/>
      <w:bookmarkEnd w:id="1"/>
      <w:r w:rsidRPr="009C63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EE" w:rsidP="009C63EE">
            <w:pPr>
              <w:pStyle w:val="BodyText"/>
            </w:pPr>
            <w:r w:rsidRPr="009C63EE">
              <w:rPr>
                <w:rStyle w:val="SpecialBold"/>
              </w:rPr>
              <w:t>Release 2.</w:t>
            </w:r>
            <w:r w:rsidRPr="009C63EE">
              <w:t xml:space="preserve"> This is the second release of this unit of competency in the TLI Transport and Logistics Training Package.  </w:t>
            </w:r>
          </w:p>
          <w:p w:rsidR="00000000" w:rsidRPr="009C63EE" w:rsidP="009C63EE">
            <w:pPr>
              <w:pStyle w:val="ListBullet2"/>
            </w:pPr>
            <w:r w:rsidRPr="009C63EE">
              <w:t>Minor changes to unit Application</w:t>
            </w:r>
          </w:p>
          <w:p w:rsidR="00000000" w:rsidRPr="009C63EE" w:rsidP="009C63EE">
            <w:pPr>
              <w:pStyle w:val="ListBullet2"/>
            </w:pPr>
            <w:r w:rsidRPr="009C63EE">
              <w:t>Minor changes to Performance Criteria</w:t>
            </w:r>
          </w:p>
          <w:p w:rsidR="00000000" w:rsidRPr="009C63EE" w:rsidP="009C63EE">
            <w:pPr>
              <w:pStyle w:val="ListBullet2"/>
            </w:pPr>
            <w:r w:rsidRPr="009C63EE">
              <w:t>Minor changes to Performance Evidence</w:t>
            </w:r>
          </w:p>
          <w:p w:rsidR="00000000" w:rsidP="009C63EE">
            <w:pPr>
              <w:pStyle w:val="ListBullet2"/>
              <w:rPr>
                <w:lang w:val="en-NZ"/>
              </w:rPr>
            </w:pPr>
            <w:r w:rsidRPr="009C63EE">
              <w:t>Minor changes to Assessment Conditi</w:t>
            </w:r>
            <w:r w:rsidRPr="009C63EE">
              <w:t>ons.</w:t>
            </w:r>
          </w:p>
        </w:tc>
      </w:tr>
      <w:tr w:rsidTr="009C6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EE" w:rsidP="009C63EE">
            <w:pPr>
              <w:pStyle w:val="BodyText"/>
            </w:pPr>
            <w:r w:rsidRPr="009C63EE">
              <w:rPr>
                <w:rStyle w:val="SpecialBold"/>
              </w:rPr>
              <w:t>Release 1.</w:t>
            </w:r>
            <w:r w:rsidRPr="009C63EE">
              <w:t xml:space="preserve"> This is the first release of this unit of competency in the TLI Transport and Logistics Training Package.</w:t>
            </w:r>
          </w:p>
        </w:tc>
      </w:tr>
    </w:tbl>
    <w:p w:rsidR="00000000" w:rsidRPr="009C63EE" w:rsidP="009C63EE">
      <w:pPr>
        <w:pStyle w:val="NoPaddingFontSize1"/>
      </w:pPr>
    </w:p>
    <w:p w:rsidR="00000000" w:rsidRPr="009C63EE" w:rsidP="009C63EE">
      <w:pPr>
        <w:pStyle w:val="AllowPageBreak"/>
      </w:pPr>
    </w:p>
    <w:p w:rsidR="00000000" w:rsidRPr="009C63EE" w:rsidP="009C63EE">
      <w:pPr>
        <w:pStyle w:val="Heading1"/>
      </w:pPr>
      <w:bookmarkStart w:id="2" w:name="O_1195945"/>
      <w:bookmarkEnd w:id="2"/>
      <w:r w:rsidRPr="009C63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EE">
            <w:pPr>
              <w:pStyle w:val="BodyText"/>
              <w:rPr>
                <w:lang w:val="en-NZ"/>
              </w:rPr>
            </w:pPr>
            <w:r w:rsidRPr="009C63EE">
              <w:t>Evidence required to demonstrate competence in this unit must be relevant to and satisfy al</w:t>
            </w:r>
            <w:r w:rsidRPr="009C63EE">
              <w:t>l the requirements of the elements and performance criteria on at least one occasion and include:</w:t>
            </w:r>
          </w:p>
        </w:tc>
      </w:tr>
      <w:tr w:rsidTr="009C6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EE" w:rsidP="009C63EE">
            <w:pPr>
              <w:pStyle w:val="ListBullet"/>
            </w:pPr>
            <w:r w:rsidRPr="009C63EE">
              <w:t xml:space="preserve">applying precautions and required action to minimise, control or eliminate identified hazards </w:t>
            </w:r>
          </w:p>
          <w:p w:rsidR="00000000" w:rsidRPr="009C63EE" w:rsidP="009C63EE">
            <w:pPr>
              <w:pStyle w:val="ListBullet"/>
            </w:pPr>
            <w:r w:rsidRPr="009C63EE">
              <w:t>applying relevant legislation and workplace policies and procedures</w:t>
            </w:r>
          </w:p>
          <w:p w:rsidR="00000000" w:rsidRPr="009C63EE" w:rsidP="009C63EE">
            <w:pPr>
              <w:pStyle w:val="ListBullet"/>
            </w:pPr>
            <w:r w:rsidRPr="009C63EE">
              <w:t xml:space="preserve">communicating effectively and working collaboratively with others </w:t>
            </w:r>
          </w:p>
          <w:p w:rsidR="00000000" w:rsidRPr="009C63EE" w:rsidP="009C63EE">
            <w:pPr>
              <w:pStyle w:val="ListBullet"/>
            </w:pPr>
            <w:r w:rsidRPr="009C63EE">
              <w:t xml:space="preserve">completing relevant documentation </w:t>
            </w:r>
          </w:p>
          <w:p w:rsidR="00000000" w:rsidRPr="009C63EE" w:rsidP="009C63EE">
            <w:pPr>
              <w:pStyle w:val="ListBullet"/>
            </w:pPr>
            <w:r w:rsidRPr="009C63EE">
              <w:t>interpreting and following operational instructions and prioritising work</w:t>
            </w:r>
          </w:p>
          <w:p w:rsidR="00000000" w:rsidRPr="009C63EE" w:rsidP="009C63EE">
            <w:pPr>
              <w:pStyle w:val="ListBullet"/>
            </w:pPr>
            <w:r w:rsidRPr="009C63EE">
              <w:t xml:space="preserve">reading and </w:t>
            </w:r>
            <w:r w:rsidRPr="009C63EE">
              <w:t>interpreting relevant instructions, procedures, information and signs, including the relevant parts of transport regulations, or related implementation materials</w:t>
            </w:r>
          </w:p>
          <w:p w:rsidR="00000000" w:rsidRPr="009C63EE" w:rsidP="009C63EE">
            <w:pPr>
              <w:pStyle w:val="ListBullet"/>
            </w:pPr>
            <w:r w:rsidRPr="009C63EE">
              <w:t>reporting and/or rectifying identified problems, faults or malfunctions promptly in accordance</w:t>
            </w:r>
            <w:r w:rsidRPr="009C63EE">
              <w:t xml:space="preserve"> with regulatory requirements and workplace procedures</w:t>
            </w:r>
          </w:p>
          <w:p w:rsidR="00000000" w:rsidRPr="009C63EE" w:rsidP="009C63EE">
            <w:pPr>
              <w:pStyle w:val="ListBullet"/>
            </w:pPr>
            <w:r w:rsidRPr="009C63EE">
              <w:t>selecting and using required personal protective equipment (PPE) conforming to industry and work health and safety (WHS)/occupational health and safety (OHS) standards.</w:t>
            </w:r>
          </w:p>
        </w:tc>
      </w:tr>
    </w:tbl>
    <w:p w:rsidR="00000000" w:rsidRPr="009C63EE" w:rsidP="009C63EE">
      <w:pPr>
        <w:pStyle w:val="NoPaddingFontSize1"/>
      </w:pPr>
    </w:p>
    <w:p w:rsidR="00000000" w:rsidRPr="009C63EE" w:rsidP="009C63EE">
      <w:pPr>
        <w:pStyle w:val="AllowPageBreak"/>
      </w:pPr>
    </w:p>
    <w:p w:rsidR="00000000" w:rsidRPr="009C63EE" w:rsidP="009C63EE">
      <w:pPr>
        <w:pStyle w:val="Heading1"/>
      </w:pPr>
      <w:bookmarkStart w:id="3" w:name="O_1195944"/>
      <w:bookmarkEnd w:id="3"/>
      <w:r w:rsidRPr="009C63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EE">
            <w:pPr>
              <w:pStyle w:val="BodyText"/>
              <w:rPr>
                <w:lang w:val="en-NZ"/>
              </w:rPr>
            </w:pPr>
            <w:r w:rsidRPr="009C63E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C6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EE" w:rsidP="009C63EE">
            <w:pPr>
              <w:pStyle w:val="ListBullet"/>
            </w:pPr>
            <w:r w:rsidRPr="009C63EE">
              <w:t>emergency response workplace procedures</w:t>
            </w:r>
          </w:p>
          <w:p w:rsidR="00000000" w:rsidRPr="009C63EE" w:rsidP="009C63EE">
            <w:pPr>
              <w:pStyle w:val="ListBullet"/>
            </w:pPr>
            <w:r w:rsidRPr="009C63EE">
              <w:t>procedures for man</w:t>
            </w:r>
            <w:r w:rsidRPr="009C63EE">
              <w:t>aging and controlling hazardous situations when carrying out transport activities</w:t>
            </w:r>
          </w:p>
          <w:p w:rsidR="00000000" w:rsidRPr="009C63EE" w:rsidP="009C63EE">
            <w:pPr>
              <w:pStyle w:val="ListBullet"/>
            </w:pPr>
            <w:r w:rsidRPr="009C63EE">
              <w:t>relevant sections of Heavy Vehicle National Law (HVNL) and applicable state/territory transport regulations as they apply to the enterprise, including:</w:t>
            </w:r>
          </w:p>
          <w:p w:rsidR="00000000" w:rsidRPr="009C63EE" w:rsidP="009C63EE">
            <w:pPr>
              <w:pStyle w:val="ListBullet2"/>
            </w:pPr>
            <w:r w:rsidRPr="009C63EE">
              <w:t>chain of responsibili</w:t>
            </w:r>
            <w:r w:rsidRPr="009C63EE">
              <w:t>ty of duty holders</w:t>
            </w:r>
          </w:p>
          <w:p w:rsidR="00000000" w:rsidRPr="009C63EE" w:rsidP="009C63EE">
            <w:pPr>
              <w:pStyle w:val="ListBullet2"/>
            </w:pPr>
            <w:r w:rsidRPr="009C63EE">
              <w:t>fatigue management</w:t>
            </w:r>
          </w:p>
          <w:p w:rsidR="00000000" w:rsidRPr="009C63EE" w:rsidP="009C63EE">
            <w:pPr>
              <w:pStyle w:val="ListBullet2"/>
            </w:pPr>
            <w:r w:rsidRPr="009C63EE">
              <w:t>mass, dimension and loading</w:t>
            </w:r>
          </w:p>
          <w:p w:rsidR="00000000" w:rsidRPr="009C63EE" w:rsidP="009C63EE">
            <w:pPr>
              <w:pStyle w:val="ListBullet2"/>
            </w:pPr>
            <w:r w:rsidRPr="009C63EE">
              <w:t>state/territory and national regulations</w:t>
            </w:r>
          </w:p>
          <w:p w:rsidR="00000000" w:rsidRPr="009C63EE" w:rsidP="009C63EE">
            <w:pPr>
              <w:pStyle w:val="ListBullet2"/>
            </w:pPr>
            <w:r w:rsidRPr="009C63EE">
              <w:t>transport activities</w:t>
            </w:r>
          </w:p>
          <w:p w:rsidR="00000000" w:rsidRPr="009C63EE" w:rsidP="009C63EE">
            <w:pPr>
              <w:pStyle w:val="ListBullet2"/>
            </w:pPr>
            <w:r w:rsidRPr="009C63EE">
              <w:t>vehicle standards</w:t>
            </w:r>
          </w:p>
          <w:p w:rsidR="00000000" w:rsidRPr="009C63EE" w:rsidP="009C63EE">
            <w:pPr>
              <w:pStyle w:val="ListBullet"/>
            </w:pPr>
            <w:r w:rsidRPr="009C63EE">
              <w:t>relevant WHS/OHS and environmental procedures and regulations</w:t>
            </w:r>
          </w:p>
          <w:p w:rsidR="00000000" w:rsidRPr="009C63EE" w:rsidP="009C63EE">
            <w:pPr>
              <w:pStyle w:val="ListBullet"/>
            </w:pPr>
            <w:r w:rsidRPr="009C63EE">
              <w:t>requirements for completing relevant documentation</w:t>
            </w:r>
          </w:p>
          <w:p w:rsidR="00000000" w:rsidRPr="009C63EE" w:rsidP="009C63EE">
            <w:pPr>
              <w:pStyle w:val="ListBullet"/>
            </w:pPr>
            <w:r w:rsidRPr="009C63EE">
              <w:t>steps involved in planning transport activities.</w:t>
            </w:r>
          </w:p>
        </w:tc>
      </w:tr>
    </w:tbl>
    <w:p w:rsidR="00000000" w:rsidRPr="009C63EE" w:rsidP="009C63EE">
      <w:pPr>
        <w:pStyle w:val="NoPaddingFontSize1"/>
      </w:pPr>
    </w:p>
    <w:p w:rsidR="00000000" w:rsidRPr="009C63EE" w:rsidP="009C63EE">
      <w:pPr>
        <w:pStyle w:val="AllowPageBreak"/>
      </w:pPr>
    </w:p>
    <w:p w:rsidR="00000000" w:rsidRPr="009C63EE" w:rsidP="009C63EE">
      <w:pPr>
        <w:pStyle w:val="Heading1"/>
      </w:pPr>
      <w:bookmarkStart w:id="4" w:name="O_1195943"/>
      <w:bookmarkEnd w:id="4"/>
      <w:r w:rsidRPr="009C63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EE" w:rsidP="009C63EE">
            <w:pPr>
              <w:pStyle w:val="BodyText"/>
            </w:pPr>
            <w:r w:rsidRPr="009C63EE">
              <w:t xml:space="preserve">Assessors must hold credentials specified within the Standards for Registered Training Organisations current at the time of assessment. </w:t>
            </w:r>
          </w:p>
          <w:p w:rsidR="00000000" w:rsidRPr="009C63EE" w:rsidP="009C63EE">
            <w:pPr>
              <w:pStyle w:val="BodyText"/>
            </w:pPr>
            <w:r w:rsidRPr="009C63EE">
              <w:t>Assessment must satisfy the Principles of Assessment and Rules of Evidence and all regulatory requirements included wit</w:t>
            </w:r>
            <w:r w:rsidRPr="009C63EE">
              <w:t>hin the Standards for Registered Training Organisations current at the time of assessment.</w:t>
            </w:r>
          </w:p>
          <w:p w:rsidR="00000000" w:rsidRPr="009C63EE" w:rsidP="009C63EE">
            <w:pPr>
              <w:pStyle w:val="BodyText"/>
            </w:pPr>
            <w:r w:rsidRPr="009C63EE">
              <w:t>Assessment must occur in workplace operational situations where it is appropriate to do so; where this is not appropriate, assessment must occur in simulated workpla</w:t>
            </w:r>
            <w:r w:rsidRPr="009C63EE">
              <w:t>ce operational situations that replicate workplace conditions.</w:t>
            </w:r>
          </w:p>
          <w:p w:rsidR="00000000" w:rsidRPr="009C63EE" w:rsidP="009C63EE">
            <w:pPr>
              <w:pStyle w:val="BodyText"/>
            </w:pPr>
            <w:r w:rsidRPr="009C63E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C63EE" w:rsidP="009C63EE">
            <w:pPr>
              <w:pStyle w:val="BodyText"/>
            </w:pPr>
            <w:r w:rsidRPr="009C63EE">
              <w:t xml:space="preserve">Resources for assessment </w:t>
            </w:r>
            <w:r w:rsidRPr="009C63EE">
              <w:t>must include access to:</w:t>
            </w:r>
          </w:p>
          <w:p w:rsidR="00000000" w:rsidRPr="009C63EE" w:rsidP="009C63EE">
            <w:pPr>
              <w:pStyle w:val="ListBullet"/>
            </w:pPr>
            <w:r w:rsidRPr="009C63EE">
              <w:t>a range of relevant exercises, case studies and/or simulations</w:t>
            </w:r>
          </w:p>
          <w:p w:rsidR="00000000" w:rsidRPr="009C63EE" w:rsidP="009C63EE">
            <w:pPr>
              <w:pStyle w:val="ListBullet"/>
            </w:pPr>
            <w:r w:rsidRPr="009C63EE">
              <w:t>relevant and appropriate materials, tools, equipment and PPE currently used in industry</w:t>
            </w:r>
          </w:p>
          <w:p w:rsidR="00000000" w:rsidRPr="009C63EE" w:rsidP="009C63EE">
            <w:pPr>
              <w:pStyle w:val="ListBullet"/>
            </w:pPr>
            <w:r w:rsidRPr="009C63EE">
              <w:t>applicable documentation, including legislation, regulations, vehicle standards,</w:t>
            </w:r>
            <w:r w:rsidRPr="009C63EE">
              <w:t xml:space="preserve"> HVNL, codes of practice, workplace procedures and operation manuals.</w:t>
            </w:r>
          </w:p>
        </w:tc>
      </w:tr>
    </w:tbl>
    <w:p w:rsidR="00000000" w:rsidRPr="009C63EE" w:rsidP="009C63EE">
      <w:pPr>
        <w:pStyle w:val="NoPaddingFontSize1"/>
      </w:pPr>
    </w:p>
    <w:p w:rsidR="00000000" w:rsidRPr="009C63EE" w:rsidP="009C63EE">
      <w:pPr>
        <w:pStyle w:val="AllowPageBreak"/>
      </w:pPr>
    </w:p>
    <w:p w:rsidR="00000000" w:rsidRPr="009C63EE" w:rsidP="009C63EE">
      <w:pPr>
        <w:pStyle w:val="Heading1"/>
      </w:pPr>
      <w:bookmarkStart w:id="5" w:name="O_1195958"/>
      <w:bookmarkEnd w:id="5"/>
      <w:r w:rsidRPr="009C63EE">
        <w:t>Links</w:t>
      </w:r>
    </w:p>
    <w:p w:rsidR="00000000" w:rsidRPr="009C63EE" w:rsidP="00594A5A">
      <w:pPr>
        <w:pStyle w:val="BodyText"/>
      </w:pPr>
      <w:r w:rsidRPr="009C6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15E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C63EE" w:rsidP="009C63EE"/>
    <w:sectPr w:rsidSect="009C6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EE" w:rsidRPr="00594A5A" w:rsidP="00594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5A" w:rsidP="009C6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4A5A" w:rsidP="009C6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94A5A" w:rsidP="009C6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3EE" w:rsidRPr="00594A5A" w:rsidP="00594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5A" w:rsidRPr="002D2AF8" w:rsidP="009C6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TLIF4066 Implement and supervise transport regulations compliance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94A5A" w:rsidP="009C6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2E0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261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B024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3EE"/>
  </w:style>
  <w:style w:type="character" w:customStyle="1" w:styleId="Heading1Char">
    <w:name w:val="Heading 1 Char"/>
    <w:basedOn w:val="DefaultParagraphFont"/>
    <w:link w:val="Heading1"/>
    <w:rsid w:val="009C6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3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3EE"/>
    <w:rPr>
      <w:b/>
      <w:spacing w:val="0"/>
    </w:rPr>
  </w:style>
  <w:style w:type="paragraph" w:styleId="ListBullet2">
    <w:name w:val="List Bullet 2"/>
    <w:basedOn w:val="List2"/>
    <w:rsid w:val="009C63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6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6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6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3EE"/>
    <w:rPr>
      <w:i/>
    </w:rPr>
  </w:style>
  <w:style w:type="paragraph" w:styleId="Caption">
    <w:name w:val="caption"/>
    <w:basedOn w:val="BodyText"/>
    <w:next w:val="Normal"/>
    <w:qFormat/>
    <w:rsid w:val="009C6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3EE"/>
  </w:style>
  <w:style w:type="paragraph" w:styleId="TableofFigures">
    <w:name w:val="table of figures"/>
    <w:basedOn w:val="Normal"/>
    <w:next w:val="Normal"/>
    <w:semiHidden/>
    <w:rsid w:val="009C6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3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63EE"/>
    <w:rPr>
      <w:rFonts w:ascii="Wingdings" w:hAnsi="Wingdings"/>
    </w:rPr>
  </w:style>
  <w:style w:type="paragraph" w:customStyle="1" w:styleId="TableHeading">
    <w:name w:val="Table Heading"/>
    <w:basedOn w:val="HeadingBase"/>
    <w:rsid w:val="009C6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3EE"/>
    <w:rPr>
      <w:color w:val="0033CC"/>
      <w:u w:val="none"/>
    </w:rPr>
  </w:style>
  <w:style w:type="paragraph" w:customStyle="1" w:styleId="BodyTextRight">
    <w:name w:val="Body Text Right"/>
    <w:basedOn w:val="BodyText"/>
    <w:rsid w:val="009C6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3EE"/>
    <w:rPr>
      <w:sz w:val="32"/>
    </w:rPr>
  </w:style>
  <w:style w:type="paragraph" w:customStyle="1" w:styleId="HeadingProcedure">
    <w:name w:val="Heading Procedure"/>
    <w:basedOn w:val="HeadingBase"/>
    <w:next w:val="Normal"/>
    <w:rsid w:val="009C6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3EE"/>
    <w:pPr>
      <w:spacing w:before="60" w:after="60"/>
    </w:pPr>
  </w:style>
  <w:style w:type="paragraph" w:styleId="ListContinue">
    <w:name w:val="List Continue"/>
    <w:basedOn w:val="List"/>
    <w:rsid w:val="009C63EE"/>
    <w:pPr>
      <w:ind w:firstLine="0"/>
    </w:pPr>
  </w:style>
  <w:style w:type="paragraph" w:customStyle="1" w:styleId="ListNote">
    <w:name w:val="List Note"/>
    <w:basedOn w:val="List"/>
    <w:rsid w:val="009C6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3EE"/>
    <w:rPr>
      <w:rFonts w:ascii="Courier New" w:hAnsi="Courier New"/>
    </w:rPr>
  </w:style>
  <w:style w:type="paragraph" w:customStyle="1" w:styleId="NoteBullet">
    <w:name w:val="Note Bullet"/>
    <w:basedOn w:val="Note"/>
    <w:rsid w:val="009C6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3EE"/>
    <w:rPr>
      <w:b/>
      <w:smallCaps/>
    </w:rPr>
  </w:style>
  <w:style w:type="paragraph" w:customStyle="1" w:styleId="TableListNumber">
    <w:name w:val="Table List Number"/>
    <w:basedOn w:val="ListNumber"/>
    <w:rsid w:val="009C6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3EE"/>
    <w:pPr>
      <w:numPr>
        <w:numId w:val="9"/>
      </w:numPr>
    </w:pPr>
  </w:style>
  <w:style w:type="paragraph" w:customStyle="1" w:styleId="ListAlpha2">
    <w:name w:val="List Alpha 2"/>
    <w:basedOn w:val="List2"/>
    <w:rsid w:val="009C63EE"/>
    <w:pPr>
      <w:numPr>
        <w:numId w:val="8"/>
      </w:numPr>
    </w:pPr>
  </w:style>
  <w:style w:type="paragraph" w:styleId="List2">
    <w:name w:val="List 2"/>
    <w:basedOn w:val="BodyText"/>
    <w:rsid w:val="009C6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63EE"/>
    <w:pPr>
      <w:numPr>
        <w:numId w:val="4"/>
      </w:numPr>
    </w:pPr>
  </w:style>
  <w:style w:type="paragraph" w:styleId="ListContinue2">
    <w:name w:val="List Continue 2"/>
    <w:basedOn w:val="List2"/>
    <w:rsid w:val="009C63EE"/>
    <w:pPr>
      <w:ind w:firstLine="0"/>
    </w:pPr>
  </w:style>
  <w:style w:type="paragraph" w:styleId="ListContinue3">
    <w:name w:val="List Continue 3"/>
    <w:basedOn w:val="List3"/>
    <w:rsid w:val="009C63EE"/>
    <w:pPr>
      <w:ind w:left="1021" w:firstLine="0"/>
    </w:pPr>
  </w:style>
  <w:style w:type="paragraph" w:styleId="ListContinue4">
    <w:name w:val="List Continue 4"/>
    <w:basedOn w:val="List4"/>
    <w:rsid w:val="009C63EE"/>
    <w:pPr>
      <w:ind w:firstLine="0"/>
    </w:pPr>
  </w:style>
  <w:style w:type="paragraph" w:styleId="ListContinue5">
    <w:name w:val="List Continue 5"/>
    <w:basedOn w:val="List5"/>
    <w:rsid w:val="009C63EE"/>
    <w:pPr>
      <w:ind w:firstLine="0"/>
    </w:pPr>
  </w:style>
  <w:style w:type="paragraph" w:styleId="ListNumber3">
    <w:name w:val="List Number 3"/>
    <w:basedOn w:val="List3"/>
    <w:rsid w:val="009C63EE"/>
    <w:pPr>
      <w:numPr>
        <w:numId w:val="5"/>
      </w:numPr>
    </w:pPr>
  </w:style>
  <w:style w:type="paragraph" w:styleId="ListNumber4">
    <w:name w:val="List Number 4"/>
    <w:basedOn w:val="List4"/>
    <w:rsid w:val="009C63EE"/>
    <w:pPr>
      <w:numPr>
        <w:numId w:val="6"/>
      </w:numPr>
    </w:pPr>
  </w:style>
  <w:style w:type="paragraph" w:styleId="ListNumber5">
    <w:name w:val="List Number 5"/>
    <w:basedOn w:val="List5"/>
    <w:rsid w:val="009C63EE"/>
    <w:pPr>
      <w:numPr>
        <w:numId w:val="7"/>
      </w:numPr>
    </w:pPr>
  </w:style>
  <w:style w:type="paragraph" w:styleId="BlockText">
    <w:name w:val="Block Text"/>
    <w:basedOn w:val="Normal"/>
    <w:rsid w:val="009C6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3EE"/>
    <w:rPr>
      <w:sz w:val="16"/>
      <w:vertAlign w:val="superscript"/>
    </w:rPr>
  </w:style>
  <w:style w:type="character" w:customStyle="1" w:styleId="Symbols">
    <w:name w:val="Symbols"/>
    <w:basedOn w:val="DefaultParagraphFont"/>
    <w:rsid w:val="009C63EE"/>
    <w:rPr>
      <w:rFonts w:ascii="Symbol" w:hAnsi="Symbol"/>
    </w:rPr>
  </w:style>
  <w:style w:type="character" w:customStyle="1" w:styleId="MenuOptions">
    <w:name w:val="Menu Options"/>
    <w:basedOn w:val="DefaultParagraphFont"/>
    <w:rsid w:val="009C6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3EE"/>
    <w:rPr>
      <w:b/>
    </w:rPr>
  </w:style>
  <w:style w:type="character" w:customStyle="1" w:styleId="Underlined">
    <w:name w:val="Underlined"/>
    <w:basedOn w:val="DefaultParagraphFont"/>
    <w:rsid w:val="009C63EE"/>
    <w:rPr>
      <w:u w:val="single"/>
    </w:rPr>
  </w:style>
  <w:style w:type="paragraph" w:customStyle="1" w:styleId="TableBodyTextRight">
    <w:name w:val="Table Body Text Right"/>
    <w:basedOn w:val="TableBodyText"/>
    <w:rsid w:val="009C6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3EE"/>
    <w:rPr>
      <w:sz w:val="18"/>
    </w:rPr>
  </w:style>
  <w:style w:type="paragraph" w:customStyle="1" w:styleId="BodySmallRight">
    <w:name w:val="Body Small Right"/>
    <w:basedOn w:val="BodyTextRight"/>
    <w:rsid w:val="009C63EE"/>
    <w:rPr>
      <w:sz w:val="18"/>
      <w:szCs w:val="18"/>
    </w:rPr>
  </w:style>
  <w:style w:type="paragraph" w:customStyle="1" w:styleId="MarginEdition">
    <w:name w:val="Margin Edition"/>
    <w:basedOn w:val="MarginNote"/>
    <w:rsid w:val="009C6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3EE"/>
    <w:rPr>
      <w:sz w:val="2"/>
      <w:szCs w:val="2"/>
    </w:rPr>
  </w:style>
  <w:style w:type="character" w:customStyle="1" w:styleId="Small">
    <w:name w:val="Small"/>
    <w:basedOn w:val="DefaultParagraphFont"/>
    <w:rsid w:val="009C63EE"/>
    <w:rPr>
      <w:sz w:val="16"/>
    </w:rPr>
  </w:style>
  <w:style w:type="paragraph" w:customStyle="1" w:styleId="WideTable">
    <w:name w:val="Wide Table"/>
    <w:basedOn w:val="Normal"/>
    <w:rsid w:val="009C6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3EE"/>
  </w:style>
  <w:style w:type="paragraph" w:styleId="Quote">
    <w:name w:val="Quote"/>
    <w:basedOn w:val="Heading1"/>
    <w:link w:val="QuoteChar"/>
    <w:qFormat/>
    <w:rsid w:val="009C6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3EE"/>
    <w:pPr>
      <w:pageBreakBefore/>
    </w:pPr>
  </w:style>
  <w:style w:type="paragraph" w:customStyle="1" w:styleId="Border">
    <w:name w:val="Border"/>
    <w:basedOn w:val="Normal"/>
    <w:qFormat/>
    <w:rsid w:val="009C6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3EE"/>
    <w:rPr>
      <w:u w:val="single"/>
    </w:rPr>
  </w:style>
  <w:style w:type="character" w:customStyle="1" w:styleId="BoldandItalics">
    <w:name w:val="Bold and Italics"/>
    <w:qFormat/>
    <w:rsid w:val="009C63EE"/>
    <w:rPr>
      <w:b/>
      <w:i/>
      <w:u w:val="none"/>
    </w:rPr>
  </w:style>
  <w:style w:type="paragraph" w:styleId="BalloonText">
    <w:name w:val="Balloon Text"/>
    <w:basedOn w:val="Normal"/>
    <w:link w:val="BalloonTextChar"/>
    <w:rsid w:val="009C6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3EE"/>
    <w:pPr>
      <w:spacing w:before="0" w:after="0"/>
    </w:pPr>
  </w:style>
  <w:style w:type="paragraph" w:customStyle="1" w:styleId="BodyTextBold">
    <w:name w:val="Body Text Bold"/>
    <w:basedOn w:val="BodyText"/>
    <w:qFormat/>
    <w:rsid w:val="009C63EE"/>
    <w:rPr>
      <w:b/>
    </w:rPr>
  </w:style>
  <w:style w:type="character" w:styleId="Hyperlink">
    <w:name w:val="Hyperlink"/>
    <w:basedOn w:val="DefaultParagraphFont"/>
    <w:uiPriority w:val="99"/>
    <w:unhideWhenUsed/>
    <w:rsid w:val="00594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3435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TLIF4066 Implement and supervise transport regulations compliance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