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544" w:rsidP="001255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TLIF4065 Ensure compliance with Australian Dangerous Goods Code</w:t>
      </w:r>
      <w:r>
        <w:fldChar w:fldCharType="end"/>
      </w:r>
    </w:p>
    <w:p w:rsidR="00125544" w:rsidP="00125544">
      <w:pPr>
        <w:pStyle w:val="Version"/>
        <w:sectPr w:rsidSect="00614A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4AFA" w:rsidP="00614AFA">
      <w:pPr>
        <w:pStyle w:val="SuperHeading"/>
      </w:pPr>
      <w:r w:rsidRPr="00614AFA">
        <w:t>TLIF4065 Ensure compliance with Australian Dangerous Goods Code</w:t>
      </w:r>
    </w:p>
    <w:p w:rsidR="00000000" w:rsidRPr="00614AFA" w:rsidP="00614AFA">
      <w:pPr>
        <w:pStyle w:val="Heading1"/>
      </w:pPr>
      <w:bookmarkStart w:id="1" w:name="O_1195974"/>
      <w:bookmarkEnd w:id="1"/>
      <w:r w:rsidRPr="00614A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A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rPr>
                <w:rStyle w:val="SpecialBold"/>
              </w:rPr>
              <w:t>Release 2.</w:t>
            </w:r>
            <w:r w:rsidRPr="00614AFA">
              <w:t xml:space="preserve"> This is the second release of this unit of competency in the TLI Transport and Logistics Training Package.  </w:t>
            </w:r>
          </w:p>
          <w:p w:rsidR="00000000" w:rsidRPr="00614AFA" w:rsidP="00614AFA">
            <w:pPr>
              <w:pStyle w:val="ListBullet2"/>
            </w:pPr>
            <w:r w:rsidRPr="00614AFA">
              <w:t>Minor</w:t>
            </w:r>
            <w:r w:rsidRPr="00614AFA">
              <w:t xml:space="preserve"> changes to unit Application</w:t>
            </w:r>
          </w:p>
          <w:p w:rsidR="00000000" w:rsidRPr="00614AFA" w:rsidP="00614AFA">
            <w:pPr>
              <w:pStyle w:val="ListBullet2"/>
            </w:pPr>
            <w:r w:rsidRPr="00614AFA">
              <w:t>Minor changes to Performance Criteria</w:t>
            </w:r>
          </w:p>
          <w:p w:rsidR="00000000" w:rsidRPr="00614AFA" w:rsidP="00614AFA">
            <w:pPr>
              <w:pStyle w:val="ListBullet2"/>
            </w:pPr>
            <w:r w:rsidRPr="00614AFA">
              <w:t>Minor changes to Performance Evidence</w:t>
            </w:r>
          </w:p>
          <w:p w:rsidR="00000000" w:rsidRPr="00614AFA" w:rsidP="00614AFA">
            <w:pPr>
              <w:pStyle w:val="ListBullet2"/>
            </w:pPr>
            <w:r w:rsidRPr="00614AFA">
              <w:t>Minor changes to Knowledge Evidence</w:t>
            </w:r>
          </w:p>
          <w:p w:rsidR="00000000" w:rsidP="00614AFA">
            <w:pPr>
              <w:pStyle w:val="ListBullet2"/>
              <w:rPr>
                <w:lang w:val="en-NZ"/>
              </w:rPr>
            </w:pPr>
            <w:r w:rsidRPr="00614AFA">
              <w:t>Minor changes to Assessment Conditions.</w:t>
            </w:r>
          </w:p>
        </w:tc>
      </w:tr>
      <w:tr w:rsidTr="00614A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rPr>
                <w:rStyle w:val="SpecialBold"/>
              </w:rPr>
              <w:t>Release 1.</w:t>
            </w:r>
            <w:r w:rsidRPr="00614AFA">
              <w:t xml:space="preserve"> This is the first release of this unit of competency in the TLI</w:t>
            </w:r>
            <w:r w:rsidRPr="00614AFA">
              <w:t xml:space="preserve"> Transport and Logistics Training Package.</w:t>
            </w:r>
          </w:p>
        </w:tc>
      </w:tr>
    </w:tbl>
    <w:p w:rsidR="00000000" w:rsidRPr="00614AFA" w:rsidP="00614AFA">
      <w:pPr>
        <w:pStyle w:val="NoPaddingFontSize1"/>
      </w:pPr>
    </w:p>
    <w:p w:rsidR="00000000" w:rsidRPr="00614AFA" w:rsidP="00614AFA">
      <w:pPr>
        <w:pStyle w:val="AllowPageBreak"/>
      </w:pPr>
    </w:p>
    <w:p w:rsidR="00000000" w:rsidRPr="00614AFA" w:rsidP="00614AFA">
      <w:pPr>
        <w:pStyle w:val="Heading1"/>
      </w:pPr>
      <w:bookmarkStart w:id="2" w:name="O_1195973"/>
      <w:bookmarkEnd w:id="2"/>
      <w:r w:rsidRPr="00614A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A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t>This unit involves the skills and knowledge required to ensure compliance with Australian Dangerous Goods (ADG) Code.</w:t>
            </w:r>
          </w:p>
          <w:p w:rsidR="00000000" w:rsidRPr="00614AFA" w:rsidP="00614AFA">
            <w:pPr>
              <w:pStyle w:val="BodyText"/>
            </w:pPr>
            <w:r w:rsidRPr="00614AFA">
              <w:t>It includes ensuri</w:t>
            </w:r>
            <w:r w:rsidRPr="00614AFA">
              <w:t>ng responsibilities for handling and transporting dangerous goods are defined, managing performance, controlling risks, maintaining records and evaluating effectiveness.</w:t>
            </w:r>
          </w:p>
          <w:p w:rsidR="00000000" w:rsidRPr="00614AFA" w:rsidP="00614AFA">
            <w:pPr>
              <w:pStyle w:val="BodyText"/>
            </w:pPr>
            <w:r w:rsidRPr="00614AFA">
              <w:t>The unit generally applies to those who lead others individually or in teams.</w:t>
            </w:r>
          </w:p>
          <w:p w:rsidR="00000000" w:rsidRPr="00614AFA" w:rsidP="00614AFA">
            <w:pPr>
              <w:pStyle w:val="BodyText"/>
            </w:pPr>
            <w:r w:rsidRPr="00614AFA">
              <w:t>No licen</w:t>
            </w:r>
            <w:r w:rsidRPr="00614AFA">
              <w:t>sing, legislative or certification requirements apply to this unit at the time of publication.</w:t>
            </w:r>
          </w:p>
        </w:tc>
      </w:tr>
    </w:tbl>
    <w:p w:rsidR="00000000" w:rsidRPr="00614AFA" w:rsidP="00614AFA">
      <w:pPr>
        <w:pStyle w:val="NoPaddingFontSize1"/>
      </w:pPr>
    </w:p>
    <w:p w:rsidR="00000000" w:rsidRPr="00614AFA" w:rsidP="00614AFA">
      <w:pPr>
        <w:pStyle w:val="AllowPageBreak"/>
      </w:pPr>
    </w:p>
    <w:p w:rsidR="00000000" w:rsidRPr="00614AFA" w:rsidP="00614AFA">
      <w:pPr>
        <w:pStyle w:val="Heading1"/>
      </w:pPr>
      <w:bookmarkStart w:id="3" w:name="O_1195972"/>
      <w:bookmarkEnd w:id="3"/>
      <w:r w:rsidRPr="00614A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A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t>Not applicable.</w:t>
            </w:r>
          </w:p>
        </w:tc>
      </w:tr>
    </w:tbl>
    <w:p w:rsidR="00000000" w:rsidRPr="00614AFA" w:rsidP="00614AFA">
      <w:pPr>
        <w:pStyle w:val="NoPaddingFontSize1"/>
      </w:pPr>
    </w:p>
    <w:p w:rsidR="00000000" w:rsidRPr="00614AFA" w:rsidP="00614AFA">
      <w:pPr>
        <w:pStyle w:val="AllowPageBreak"/>
      </w:pPr>
    </w:p>
    <w:p w:rsidR="00000000" w:rsidRPr="00614AFA" w:rsidP="00614AFA">
      <w:pPr>
        <w:pStyle w:val="Heading1"/>
      </w:pPr>
      <w:bookmarkStart w:id="4" w:name="O_1195971"/>
      <w:bookmarkEnd w:id="4"/>
      <w:r w:rsidRPr="00614A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A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t>F – Safety Management.</w:t>
            </w:r>
          </w:p>
        </w:tc>
      </w:tr>
    </w:tbl>
    <w:p w:rsidR="00000000" w:rsidRPr="00614AFA" w:rsidP="00614AFA">
      <w:pPr>
        <w:pStyle w:val="NoPaddingFontSize1"/>
      </w:pPr>
    </w:p>
    <w:p w:rsidR="00000000" w:rsidRPr="00614AFA" w:rsidP="00614AFA">
      <w:pPr>
        <w:pStyle w:val="AllowPageBreak"/>
      </w:pPr>
    </w:p>
    <w:p w:rsidR="00000000" w:rsidRPr="00614AFA" w:rsidP="00614AFA">
      <w:pPr>
        <w:pStyle w:val="Heading1"/>
      </w:pPr>
      <w:bookmarkStart w:id="5" w:name="O_1195970"/>
      <w:bookmarkEnd w:id="5"/>
      <w:r w:rsidRPr="00614A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A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t>Not applica</w:t>
            </w:r>
            <w:r w:rsidRPr="00614AFA">
              <w:t>ble.</w:t>
            </w:r>
          </w:p>
        </w:tc>
      </w:tr>
    </w:tbl>
    <w:p w:rsidR="00000000" w:rsidRPr="00614AFA" w:rsidP="00614AFA">
      <w:pPr>
        <w:pStyle w:val="NoPaddingFontSize1"/>
      </w:pPr>
    </w:p>
    <w:p w:rsidR="00000000" w:rsidRPr="00614AFA" w:rsidP="00614AFA">
      <w:pPr>
        <w:pStyle w:val="AllowPageBreak"/>
      </w:pPr>
    </w:p>
    <w:p w:rsidR="00000000" w:rsidRPr="00614AFA" w:rsidP="00614AFA">
      <w:pPr>
        <w:pStyle w:val="Heading1"/>
      </w:pPr>
      <w:bookmarkStart w:id="6" w:name="O_1195969"/>
      <w:bookmarkEnd w:id="6"/>
      <w:r w:rsidRPr="00614AF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614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rPr>
                <w:rStyle w:val="SpecialBold"/>
              </w:rPr>
              <w:t>PERFORMANCE CRITERIA</w:t>
            </w:r>
          </w:p>
        </w:tc>
      </w:tr>
      <w:tr w:rsidTr="00614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t>Performance criteria describe the performance needed to demonstrate achievement of the element.</w:t>
            </w:r>
          </w:p>
        </w:tc>
      </w:tr>
      <w:tr w:rsidTr="00614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rPr>
                <w:rStyle w:val="SpecialBold"/>
              </w:rPr>
              <w:t>Ensure responsibilities for handling dangerous goods are defined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t>Responsibilities and duties for transporting and handling dangerous goods are clearly defined, allocated and included in job descriptions and duty statements for all relevant positions</w:t>
            </w:r>
          </w:p>
        </w:tc>
      </w:tr>
      <w:tr w:rsidTr="00614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t>Any relevant licensing requirements for employees are confirmed</w:t>
            </w:r>
          </w:p>
        </w:tc>
      </w:tr>
      <w:tr w:rsidTr="00614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rPr>
                <w:rStyle w:val="SpecialBold"/>
              </w:rPr>
              <w:t>Manage performance and control risks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t>Ongoing system for controlling risks based on a hierarchy of control is developed and integrated within workplace procedures</w:t>
            </w:r>
          </w:p>
        </w:tc>
      </w:tr>
      <w:tr w:rsidTr="00614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t>Measures to</w:t>
            </w:r>
            <w:r w:rsidRPr="00614AFA">
              <w:t xml:space="preserve"> control assessed risks and to monitor conformance are developed and implemented in accordance with relevant dangerous goods transport regulations, codes of practice and workplace priorities </w:t>
            </w:r>
          </w:p>
        </w:tc>
      </w:tr>
      <w:tr w:rsidTr="00614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t>Non-conformance is investigated and procedures for rectification are instituted</w:t>
            </w:r>
          </w:p>
        </w:tc>
      </w:tr>
      <w:tr w:rsidTr="00614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t>Inadequacies in dangerous goods transport procedures are identified and measures are implemented to improve workplace practice</w:t>
            </w:r>
          </w:p>
        </w:tc>
      </w:tr>
      <w:tr w:rsidTr="00614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rPr>
                <w:rStyle w:val="SpecialBold"/>
              </w:rPr>
              <w:t>Maintain records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t>Dangerous goods re</w:t>
            </w:r>
            <w:r w:rsidRPr="00614AFA">
              <w:t>cords system is established in accordance with relevant legislative framework</w:t>
            </w:r>
          </w:p>
        </w:tc>
      </w:tr>
      <w:tr w:rsidTr="00614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t xml:space="preserve">Accurate and legible records for operation within the workplace are completed in accordance with dangerous goods transport workplace policies, </w:t>
            </w:r>
            <w:r w:rsidRPr="00614AFA">
              <w:t>procedures and legislative requirements</w:t>
            </w:r>
          </w:p>
        </w:tc>
      </w:tr>
      <w:tr w:rsidTr="00614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rPr>
                <w:rStyle w:val="SpecialBold"/>
              </w:rPr>
              <w:t>Evaluate effectiveness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t>Feedback about effectiveness of dangerous goods transport workplace policies, procedures and programs is collected from work group and provided to senior management</w:t>
            </w:r>
          </w:p>
        </w:tc>
      </w:tr>
      <w:tr w:rsidTr="00614AF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AFA">
            <w:pPr>
              <w:pStyle w:val="BodyText"/>
              <w:rPr>
                <w:lang w:val="en-NZ"/>
              </w:rPr>
            </w:pPr>
            <w:r w:rsidRPr="00614AFA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t>Improvements to dangerous goods transport workplace procedures are proposed to senior management</w:t>
            </w:r>
          </w:p>
        </w:tc>
      </w:tr>
    </w:tbl>
    <w:p w:rsidR="00000000" w:rsidRPr="00614AFA" w:rsidP="00614AFA">
      <w:pPr>
        <w:pStyle w:val="NoPaddingFontSize1"/>
      </w:pPr>
    </w:p>
    <w:p w:rsidR="00000000" w:rsidRPr="00614AFA" w:rsidP="00614AFA">
      <w:pPr>
        <w:pStyle w:val="AllowPageBreak"/>
      </w:pPr>
    </w:p>
    <w:p w:rsidR="00000000" w:rsidRPr="00614AFA" w:rsidP="00614AFA">
      <w:pPr>
        <w:pStyle w:val="Heading1"/>
      </w:pPr>
      <w:bookmarkStart w:id="7" w:name="O_1195968"/>
      <w:bookmarkEnd w:id="7"/>
      <w:r w:rsidRPr="00614A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A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t xml:space="preserve">Foundation skills essential to performance are explicit in the performance criteria of this unit of </w:t>
            </w:r>
            <w:r w:rsidRPr="00614AFA">
              <w:t>competency.</w:t>
            </w:r>
          </w:p>
        </w:tc>
      </w:tr>
    </w:tbl>
    <w:p w:rsidR="00000000" w:rsidRPr="00614AFA" w:rsidP="00614AFA">
      <w:pPr>
        <w:pStyle w:val="NoPaddingFontSize1"/>
      </w:pPr>
    </w:p>
    <w:p w:rsidR="00000000" w:rsidRPr="00614AFA" w:rsidP="00614AFA">
      <w:pPr>
        <w:pStyle w:val="AllowPageBreak"/>
      </w:pPr>
    </w:p>
    <w:p w:rsidR="00000000" w:rsidRPr="00614AFA" w:rsidP="00614AFA">
      <w:pPr>
        <w:pStyle w:val="Heading1"/>
      </w:pPr>
      <w:bookmarkStart w:id="8" w:name="O_1195967"/>
      <w:bookmarkEnd w:id="8"/>
      <w:r w:rsidRPr="00614A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A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t>Range is restricted to essential operating conditions and any other variables essential to the work environment.</w:t>
            </w:r>
          </w:p>
          <w:p w:rsidR="00000000" w:rsidRPr="00614AFA" w:rsidP="00614AFA">
            <w:pPr>
              <w:pStyle w:val="BodyText"/>
            </w:pPr>
            <w:r w:rsidRPr="00614AFA">
              <w:t>Non-essential conditions can be found in the TLI Transport and Logistics Training Package Companion Volum</w:t>
            </w:r>
            <w:r w:rsidRPr="00614AFA">
              <w:t>e Implementation Guide.</w:t>
            </w:r>
          </w:p>
        </w:tc>
      </w:tr>
    </w:tbl>
    <w:p w:rsidR="00000000" w:rsidRPr="00614AFA" w:rsidP="00614AFA">
      <w:pPr>
        <w:pStyle w:val="NoPaddingFontSize1"/>
      </w:pPr>
    </w:p>
    <w:p w:rsidR="00000000" w:rsidRPr="00614AFA" w:rsidP="00614AFA">
      <w:pPr>
        <w:pStyle w:val="AllowPageBreak"/>
      </w:pPr>
    </w:p>
    <w:p w:rsidR="00000000" w:rsidRPr="00614AFA" w:rsidP="00614AFA">
      <w:pPr>
        <w:pStyle w:val="Heading1"/>
      </w:pPr>
      <w:bookmarkStart w:id="9" w:name="O_1195966"/>
      <w:bookmarkEnd w:id="9"/>
      <w:r w:rsidRPr="00614A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4A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AFA" w:rsidP="00614AFA">
            <w:pPr>
              <w:pStyle w:val="BodyText"/>
            </w:pPr>
            <w:r w:rsidRPr="00614AFA">
              <w:t>This unit replaces and is equivalent to TLIF4065A Ensure compliance with Australian Dangerous Goods Code.</w:t>
            </w:r>
          </w:p>
        </w:tc>
      </w:tr>
    </w:tbl>
    <w:p w:rsidR="00000000" w:rsidRPr="00614AFA" w:rsidP="00614AFA">
      <w:pPr>
        <w:pStyle w:val="NoPaddingFontSize1"/>
      </w:pPr>
    </w:p>
    <w:p w:rsidR="00000000" w:rsidRPr="00614AFA" w:rsidP="00614AFA">
      <w:pPr>
        <w:pStyle w:val="AllowPageBreak"/>
      </w:pPr>
    </w:p>
    <w:p w:rsidR="00000000" w:rsidRPr="00614AFA" w:rsidP="00614AFA">
      <w:pPr>
        <w:pStyle w:val="Heading1"/>
      </w:pPr>
      <w:bookmarkStart w:id="10" w:name="O_1195975"/>
      <w:bookmarkEnd w:id="10"/>
      <w:r w:rsidRPr="00614AFA">
        <w:t>Links</w:t>
      </w:r>
    </w:p>
    <w:p w:rsidR="00000000" w:rsidRPr="00614AFA" w:rsidP="00125544">
      <w:pPr>
        <w:pStyle w:val="BodyText"/>
      </w:pPr>
      <w:r w:rsidRPr="00614A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17E1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14AFA" w:rsidP="00614AFA"/>
    <w:sectPr w:rsidSect="00614A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FA" w:rsidRPr="00125544" w:rsidP="001255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544" w:rsidP="00614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5544" w:rsidP="00614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25544" w:rsidP="00614A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5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AFA" w:rsidRPr="00125544" w:rsidP="001255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544" w:rsidRPr="002D2AF8" w:rsidP="00614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TLIF4065 Ensure compliance with Australian Dangerous Goods Code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25544" w:rsidP="00614A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765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2CD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A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A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A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A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A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A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A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A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A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A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A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AFA"/>
  </w:style>
  <w:style w:type="character" w:customStyle="1" w:styleId="Heading1Char">
    <w:name w:val="Heading 1 Char"/>
    <w:basedOn w:val="DefaultParagraphFont"/>
    <w:link w:val="Heading1"/>
    <w:rsid w:val="00614A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A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A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4AFA"/>
    <w:rPr>
      <w:b/>
      <w:spacing w:val="0"/>
    </w:rPr>
  </w:style>
  <w:style w:type="paragraph" w:styleId="ListBullet2">
    <w:name w:val="List Bullet 2"/>
    <w:basedOn w:val="List2"/>
    <w:rsid w:val="00614AFA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4A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A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4A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A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A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A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A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A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A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A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A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A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A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A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A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A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A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4A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4A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A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A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A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A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A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A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A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A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A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A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A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A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AFA"/>
    <w:rPr>
      <w:i/>
    </w:rPr>
  </w:style>
  <w:style w:type="paragraph" w:styleId="Caption">
    <w:name w:val="caption"/>
    <w:basedOn w:val="BodyText"/>
    <w:next w:val="Normal"/>
    <w:qFormat/>
    <w:rsid w:val="00614A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A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A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AFA"/>
  </w:style>
  <w:style w:type="paragraph" w:styleId="TableofFigures">
    <w:name w:val="table of figures"/>
    <w:basedOn w:val="Normal"/>
    <w:next w:val="Normal"/>
    <w:semiHidden/>
    <w:rsid w:val="00614A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A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AFA"/>
    <w:rPr>
      <w:rFonts w:ascii="Wingdings" w:hAnsi="Wingdings"/>
    </w:rPr>
  </w:style>
  <w:style w:type="paragraph" w:customStyle="1" w:styleId="TableHeading">
    <w:name w:val="Table Heading"/>
    <w:basedOn w:val="HeadingBase"/>
    <w:rsid w:val="00614A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AFA"/>
    <w:rPr>
      <w:color w:val="0033CC"/>
      <w:u w:val="none"/>
    </w:rPr>
  </w:style>
  <w:style w:type="paragraph" w:customStyle="1" w:styleId="BodyTextRight">
    <w:name w:val="Body Text Right"/>
    <w:basedOn w:val="BodyText"/>
    <w:rsid w:val="00614A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A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A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A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A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A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AFA"/>
    <w:rPr>
      <w:sz w:val="32"/>
    </w:rPr>
  </w:style>
  <w:style w:type="paragraph" w:customStyle="1" w:styleId="HeadingProcedure">
    <w:name w:val="Heading Procedure"/>
    <w:basedOn w:val="HeadingBase"/>
    <w:next w:val="Normal"/>
    <w:rsid w:val="00614A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AFA"/>
    <w:pPr>
      <w:spacing w:before="60" w:after="60"/>
    </w:pPr>
  </w:style>
  <w:style w:type="paragraph" w:styleId="ListContinue">
    <w:name w:val="List Continue"/>
    <w:basedOn w:val="List"/>
    <w:rsid w:val="00614AFA"/>
    <w:pPr>
      <w:ind w:firstLine="0"/>
    </w:pPr>
  </w:style>
  <w:style w:type="paragraph" w:customStyle="1" w:styleId="ListNote">
    <w:name w:val="List Note"/>
    <w:basedOn w:val="List"/>
    <w:rsid w:val="00614A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A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A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AFA"/>
    <w:rPr>
      <w:rFonts w:ascii="Courier New" w:hAnsi="Courier New"/>
    </w:rPr>
  </w:style>
  <w:style w:type="paragraph" w:customStyle="1" w:styleId="NoteBullet">
    <w:name w:val="Note Bullet"/>
    <w:basedOn w:val="Note"/>
    <w:rsid w:val="00614A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A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A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A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A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A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A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AFA"/>
    <w:rPr>
      <w:b/>
      <w:smallCaps/>
    </w:rPr>
  </w:style>
  <w:style w:type="paragraph" w:customStyle="1" w:styleId="TableListNumber">
    <w:name w:val="Table List Number"/>
    <w:basedOn w:val="ListNumber"/>
    <w:rsid w:val="00614A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A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AFA"/>
    <w:pPr>
      <w:numPr>
        <w:numId w:val="8"/>
      </w:numPr>
    </w:pPr>
  </w:style>
  <w:style w:type="paragraph" w:customStyle="1" w:styleId="ListAlpha2">
    <w:name w:val="List Alpha 2"/>
    <w:basedOn w:val="List2"/>
    <w:rsid w:val="00614AFA"/>
    <w:pPr>
      <w:numPr>
        <w:numId w:val="7"/>
      </w:numPr>
    </w:pPr>
  </w:style>
  <w:style w:type="paragraph" w:styleId="List2">
    <w:name w:val="List 2"/>
    <w:basedOn w:val="BodyText"/>
    <w:rsid w:val="00614A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A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A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A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A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A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AFA"/>
    <w:pPr>
      <w:numPr>
        <w:numId w:val="3"/>
      </w:numPr>
    </w:pPr>
  </w:style>
  <w:style w:type="paragraph" w:styleId="ListContinue2">
    <w:name w:val="List Continue 2"/>
    <w:basedOn w:val="List2"/>
    <w:rsid w:val="00614AFA"/>
    <w:pPr>
      <w:ind w:firstLine="0"/>
    </w:pPr>
  </w:style>
  <w:style w:type="paragraph" w:styleId="ListContinue3">
    <w:name w:val="List Continue 3"/>
    <w:basedOn w:val="List3"/>
    <w:rsid w:val="00614AFA"/>
    <w:pPr>
      <w:ind w:left="1021" w:firstLine="0"/>
    </w:pPr>
  </w:style>
  <w:style w:type="paragraph" w:styleId="ListContinue4">
    <w:name w:val="List Continue 4"/>
    <w:basedOn w:val="List4"/>
    <w:rsid w:val="00614AFA"/>
    <w:pPr>
      <w:ind w:firstLine="0"/>
    </w:pPr>
  </w:style>
  <w:style w:type="paragraph" w:styleId="ListContinue5">
    <w:name w:val="List Continue 5"/>
    <w:basedOn w:val="List5"/>
    <w:rsid w:val="00614AFA"/>
    <w:pPr>
      <w:ind w:firstLine="0"/>
    </w:pPr>
  </w:style>
  <w:style w:type="paragraph" w:styleId="ListNumber3">
    <w:name w:val="List Number 3"/>
    <w:basedOn w:val="List3"/>
    <w:rsid w:val="00614AFA"/>
    <w:pPr>
      <w:numPr>
        <w:numId w:val="4"/>
      </w:numPr>
    </w:pPr>
  </w:style>
  <w:style w:type="paragraph" w:styleId="ListNumber4">
    <w:name w:val="List Number 4"/>
    <w:basedOn w:val="List4"/>
    <w:rsid w:val="00614AFA"/>
    <w:pPr>
      <w:numPr>
        <w:numId w:val="5"/>
      </w:numPr>
    </w:pPr>
  </w:style>
  <w:style w:type="paragraph" w:styleId="ListNumber5">
    <w:name w:val="List Number 5"/>
    <w:basedOn w:val="List5"/>
    <w:rsid w:val="00614AFA"/>
    <w:pPr>
      <w:numPr>
        <w:numId w:val="6"/>
      </w:numPr>
    </w:pPr>
  </w:style>
  <w:style w:type="paragraph" w:styleId="BlockText">
    <w:name w:val="Block Text"/>
    <w:basedOn w:val="Normal"/>
    <w:rsid w:val="00614A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A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AFA"/>
    <w:rPr>
      <w:sz w:val="16"/>
      <w:vertAlign w:val="superscript"/>
    </w:rPr>
  </w:style>
  <w:style w:type="character" w:customStyle="1" w:styleId="Symbols">
    <w:name w:val="Symbols"/>
    <w:basedOn w:val="DefaultParagraphFont"/>
    <w:rsid w:val="00614AFA"/>
    <w:rPr>
      <w:rFonts w:ascii="Symbol" w:hAnsi="Symbol"/>
    </w:rPr>
  </w:style>
  <w:style w:type="character" w:customStyle="1" w:styleId="MenuOptions">
    <w:name w:val="Menu Options"/>
    <w:basedOn w:val="DefaultParagraphFont"/>
    <w:rsid w:val="00614A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AFA"/>
    <w:rPr>
      <w:b/>
    </w:rPr>
  </w:style>
  <w:style w:type="character" w:customStyle="1" w:styleId="Underlined">
    <w:name w:val="Underlined"/>
    <w:basedOn w:val="DefaultParagraphFont"/>
    <w:rsid w:val="00614AFA"/>
    <w:rPr>
      <w:u w:val="single"/>
    </w:rPr>
  </w:style>
  <w:style w:type="paragraph" w:customStyle="1" w:styleId="TableBodyTextRight">
    <w:name w:val="Table Body Text Right"/>
    <w:basedOn w:val="TableBodyText"/>
    <w:rsid w:val="00614A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AFA"/>
    <w:rPr>
      <w:sz w:val="18"/>
    </w:rPr>
  </w:style>
  <w:style w:type="paragraph" w:customStyle="1" w:styleId="BodySmallRight">
    <w:name w:val="Body Small Right"/>
    <w:basedOn w:val="BodyTextRight"/>
    <w:rsid w:val="00614AFA"/>
    <w:rPr>
      <w:sz w:val="18"/>
      <w:szCs w:val="18"/>
    </w:rPr>
  </w:style>
  <w:style w:type="paragraph" w:customStyle="1" w:styleId="MarginEdition">
    <w:name w:val="Margin Edition"/>
    <w:basedOn w:val="MarginNote"/>
    <w:rsid w:val="00614A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AFA"/>
    <w:rPr>
      <w:sz w:val="2"/>
      <w:szCs w:val="2"/>
    </w:rPr>
  </w:style>
  <w:style w:type="character" w:customStyle="1" w:styleId="Small">
    <w:name w:val="Small"/>
    <w:basedOn w:val="DefaultParagraphFont"/>
    <w:rsid w:val="00614AFA"/>
    <w:rPr>
      <w:sz w:val="16"/>
    </w:rPr>
  </w:style>
  <w:style w:type="paragraph" w:customStyle="1" w:styleId="WideTable">
    <w:name w:val="Wide Table"/>
    <w:basedOn w:val="Normal"/>
    <w:rsid w:val="00614A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AFA"/>
  </w:style>
  <w:style w:type="paragraph" w:styleId="Quote">
    <w:name w:val="Quote"/>
    <w:basedOn w:val="Heading1"/>
    <w:link w:val="QuoteChar"/>
    <w:qFormat/>
    <w:rsid w:val="00614A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A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AFA"/>
    <w:pPr>
      <w:pageBreakBefore/>
    </w:pPr>
  </w:style>
  <w:style w:type="paragraph" w:customStyle="1" w:styleId="Border">
    <w:name w:val="Border"/>
    <w:basedOn w:val="Normal"/>
    <w:qFormat/>
    <w:rsid w:val="00614A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A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A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A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A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A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A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A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A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AFA"/>
    <w:rPr>
      <w:u w:val="single"/>
    </w:rPr>
  </w:style>
  <w:style w:type="character" w:customStyle="1" w:styleId="BoldandItalics">
    <w:name w:val="Bold and Italics"/>
    <w:qFormat/>
    <w:rsid w:val="00614AFA"/>
    <w:rPr>
      <w:b/>
      <w:i/>
      <w:u w:val="none"/>
    </w:rPr>
  </w:style>
  <w:style w:type="paragraph" w:styleId="BalloonText">
    <w:name w:val="Balloon Text"/>
    <w:basedOn w:val="Normal"/>
    <w:link w:val="BalloonTextChar"/>
    <w:rsid w:val="00614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A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A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A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A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A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AFA"/>
    <w:pPr>
      <w:spacing w:before="0" w:after="0"/>
    </w:pPr>
  </w:style>
  <w:style w:type="paragraph" w:customStyle="1" w:styleId="BodyTextBold">
    <w:name w:val="Body Text Bold"/>
    <w:basedOn w:val="BodyText"/>
    <w:qFormat/>
    <w:rsid w:val="00614AFA"/>
    <w:rPr>
      <w:b/>
    </w:rPr>
  </w:style>
  <w:style w:type="character" w:styleId="Hyperlink">
    <w:name w:val="Hyperlink"/>
    <w:basedOn w:val="DefaultParagraphFont"/>
    <w:uiPriority w:val="99"/>
    <w:unhideWhenUsed/>
    <w:rsid w:val="001255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3295</Characters>
  <Application>Microsoft Office Word</Application>
  <DocSecurity>0</DocSecurity>
  <Lines>143</Lines>
  <Paragraphs>77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TLIF4065 Ensure compliance with Australian Dangerous Goods Code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