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489" w:rsidP="00E40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TLIF4065 Ensure compliance with Australian Dangerous Goods Code</w:t>
      </w:r>
      <w:r>
        <w:fldChar w:fldCharType="end"/>
      </w:r>
    </w:p>
    <w:p w:rsidR="00E40489" w:rsidP="00E40489">
      <w:pPr>
        <w:pStyle w:val="Version"/>
        <w:sectPr w:rsidSect="00AD5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5E04" w:rsidP="00AD5E04">
      <w:pPr>
        <w:pStyle w:val="SuperHeading"/>
      </w:pPr>
      <w:r w:rsidRPr="00AD5E04">
        <w:t>Assessment Requirements for TLIF4065 Ensure compliance with Australian Dangerous Goods Code</w:t>
      </w:r>
    </w:p>
    <w:p w:rsidR="00000000" w:rsidRPr="00AD5E04" w:rsidP="00AD5E04">
      <w:pPr>
        <w:pStyle w:val="Heading1"/>
      </w:pPr>
      <w:bookmarkStart w:id="1" w:name="O_1195964"/>
      <w:bookmarkEnd w:id="1"/>
      <w:r w:rsidRPr="00AD5E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04" w:rsidP="00AD5E04">
            <w:pPr>
              <w:pStyle w:val="BodyText"/>
            </w:pPr>
            <w:r w:rsidRPr="00AD5E04">
              <w:rPr>
                <w:rStyle w:val="SpecialBold"/>
              </w:rPr>
              <w:t>Release 2.</w:t>
            </w:r>
            <w:r w:rsidRPr="00AD5E04">
              <w:t xml:space="preserve"> This is the second release of this unit of competency in the TLI Transport and Logistics Training Package.  </w:t>
            </w:r>
          </w:p>
          <w:p w:rsidR="00000000" w:rsidRPr="00AD5E04" w:rsidP="00AD5E04">
            <w:pPr>
              <w:pStyle w:val="ListBullet2"/>
            </w:pPr>
            <w:r w:rsidRPr="00AD5E04">
              <w:t>Minor changes to unit Application</w:t>
            </w:r>
          </w:p>
          <w:p w:rsidR="00000000" w:rsidRPr="00AD5E04" w:rsidP="00AD5E04">
            <w:pPr>
              <w:pStyle w:val="ListBullet2"/>
            </w:pPr>
            <w:r w:rsidRPr="00AD5E04">
              <w:t>Minor changes to Performance Criteria</w:t>
            </w:r>
          </w:p>
          <w:p w:rsidR="00000000" w:rsidRPr="00AD5E04" w:rsidP="00AD5E04">
            <w:pPr>
              <w:pStyle w:val="ListBullet2"/>
            </w:pPr>
            <w:r w:rsidRPr="00AD5E04">
              <w:t>Minor changes to Performance Evidence</w:t>
            </w:r>
          </w:p>
          <w:p w:rsidR="00000000" w:rsidRPr="00AD5E04" w:rsidP="00AD5E04">
            <w:pPr>
              <w:pStyle w:val="ListBullet2"/>
            </w:pPr>
            <w:r w:rsidRPr="00AD5E04">
              <w:t>Minor changes to Knowledge Evidence</w:t>
            </w:r>
          </w:p>
          <w:p w:rsidR="00000000" w:rsidP="00AD5E04">
            <w:pPr>
              <w:pStyle w:val="ListBullet2"/>
              <w:rPr>
                <w:lang w:val="en-NZ"/>
              </w:rPr>
            </w:pPr>
            <w:r w:rsidRPr="00AD5E04">
              <w:t>Minor changes to Assessment Conditions.</w:t>
            </w:r>
          </w:p>
        </w:tc>
      </w:tr>
      <w:tr w:rsidTr="00AD5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04" w:rsidP="00AD5E04">
            <w:pPr>
              <w:pStyle w:val="BodyText"/>
            </w:pPr>
            <w:r w:rsidRPr="00AD5E04">
              <w:rPr>
                <w:rStyle w:val="SpecialBold"/>
              </w:rPr>
              <w:t>Release 1.</w:t>
            </w:r>
            <w:r w:rsidRPr="00AD5E04">
              <w:t xml:space="preserve"> This is the first release of this unit of competency in th</w:t>
            </w:r>
            <w:r w:rsidRPr="00AD5E04">
              <w:t>e TLI Transport and Logistics Training Package.</w:t>
            </w:r>
          </w:p>
        </w:tc>
      </w:tr>
    </w:tbl>
    <w:p w:rsidR="00000000" w:rsidRPr="00AD5E04" w:rsidP="00AD5E04">
      <w:pPr>
        <w:pStyle w:val="NoPaddingFontSize1"/>
      </w:pPr>
    </w:p>
    <w:p w:rsidR="00000000" w:rsidRPr="00AD5E04" w:rsidP="00AD5E04">
      <w:pPr>
        <w:pStyle w:val="AllowPageBreak"/>
      </w:pPr>
    </w:p>
    <w:p w:rsidR="00000000" w:rsidRPr="00AD5E04" w:rsidP="00AD5E04">
      <w:pPr>
        <w:pStyle w:val="Heading1"/>
      </w:pPr>
      <w:bookmarkStart w:id="2" w:name="O_1195963"/>
      <w:bookmarkEnd w:id="2"/>
      <w:r w:rsidRPr="00AD5E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04">
            <w:pPr>
              <w:pStyle w:val="BodyText"/>
              <w:rPr>
                <w:lang w:val="en-NZ"/>
              </w:rPr>
            </w:pPr>
            <w:r w:rsidRPr="00AD5E04">
              <w:t>Evidence required to demonstrate competence in this unit must be relevant to and satisfy all the requirements of the elements and performance criteria on at least one</w:t>
            </w:r>
            <w:r w:rsidRPr="00AD5E04">
              <w:t xml:space="preserve"> occasion and include:</w:t>
            </w:r>
          </w:p>
        </w:tc>
      </w:tr>
      <w:tr w:rsidTr="00AD5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04" w:rsidP="00AD5E04">
            <w:pPr>
              <w:pStyle w:val="ListBullet"/>
            </w:pPr>
            <w:r w:rsidRPr="00AD5E04">
              <w:t>complying with applicable regulations and current Australian Dangerous Goods (ADG) Code</w:t>
            </w:r>
          </w:p>
          <w:p w:rsidR="00000000" w:rsidRPr="00AD5E04" w:rsidP="00AD5E04">
            <w:pPr>
              <w:pStyle w:val="ListBullet"/>
            </w:pPr>
            <w:r w:rsidRPr="00AD5E04">
              <w:t xml:space="preserve">identifying hazards and applying precautions and required actions to minimise, control or eliminate identified hazards </w:t>
            </w:r>
          </w:p>
          <w:p w:rsidR="00000000" w:rsidRPr="00AD5E04" w:rsidP="00AD5E04">
            <w:pPr>
              <w:pStyle w:val="ListBullet"/>
            </w:pPr>
            <w:r w:rsidRPr="00AD5E04">
              <w:t>implementing contingency plans, particularly to deal with any potential ADG Code breaches</w:t>
            </w:r>
          </w:p>
          <w:p w:rsidR="00000000" w:rsidRPr="00AD5E04" w:rsidP="00AD5E04">
            <w:pPr>
              <w:pStyle w:val="ListBullet"/>
            </w:pPr>
            <w:r w:rsidRPr="00AD5E04">
              <w:t>monitoring work activities of team members in terms of planned schedule</w:t>
            </w:r>
          </w:p>
          <w:p w:rsidR="00000000" w:rsidRPr="00AD5E04" w:rsidP="00AD5E04">
            <w:pPr>
              <w:pStyle w:val="ListBullet"/>
            </w:pPr>
            <w:r w:rsidRPr="00AD5E04">
              <w:t>reading and interpreting current ADG Code, related documents and procedures, and information a</w:t>
            </w:r>
            <w:r w:rsidRPr="00AD5E04">
              <w:t>nd materials provided as guidance notes</w:t>
            </w:r>
          </w:p>
          <w:p w:rsidR="00000000" w:rsidRPr="00AD5E04" w:rsidP="00AD5E04">
            <w:pPr>
              <w:pStyle w:val="ListBullet"/>
            </w:pPr>
            <w:r w:rsidRPr="00AD5E04">
              <w:t>working collaboratively and communicating effectively with others to ensure compliance with work health and safety (WHS)/occupational health and safety (OHS) requirements, and current ADG Code.</w:t>
            </w:r>
          </w:p>
        </w:tc>
      </w:tr>
    </w:tbl>
    <w:p w:rsidR="00E40489" w:rsidP="00AD5E04">
      <w:pPr>
        <w:pStyle w:val="NoPaddingFontSize1"/>
      </w:pPr>
    </w:p>
    <w:p w:rsidR="00E40489" w:rsidP="00AD5E04">
      <w:pPr>
        <w:pStyle w:val="NoPaddingFontSize1"/>
      </w:pPr>
    </w:p>
    <w:p w:rsidR="00000000" w:rsidRPr="00AD5E04" w:rsidP="00AD5E04">
      <w:pPr>
        <w:pStyle w:val="Heading1"/>
      </w:pPr>
      <w:bookmarkStart w:id="3" w:name="O_1195962"/>
      <w:bookmarkEnd w:id="3"/>
      <w:r w:rsidRPr="00AD5E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04">
            <w:pPr>
              <w:pStyle w:val="BodyText"/>
              <w:rPr>
                <w:lang w:val="en-NZ"/>
              </w:rPr>
            </w:pPr>
            <w:r w:rsidRPr="00AD5E0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D5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04" w:rsidP="00AD5E04">
            <w:pPr>
              <w:pStyle w:val="ListBullet"/>
            </w:pPr>
            <w:r w:rsidRPr="00AD5E04">
              <w:t>relevant sections of national and state/territory regulato</w:t>
            </w:r>
            <w:r w:rsidRPr="00AD5E04">
              <w:t>ry requirements and codes of practice, including:</w:t>
            </w:r>
          </w:p>
          <w:p w:rsidR="00000000" w:rsidRPr="00AD5E04" w:rsidP="00AD5E04">
            <w:pPr>
              <w:pStyle w:val="ListBullet2"/>
            </w:pPr>
            <w:r w:rsidRPr="00AD5E04">
              <w:t>current ADG Code, conditions and duty holders to whom it applies</w:t>
            </w:r>
          </w:p>
          <w:p w:rsidR="00000000" w:rsidRPr="00AD5E04" w:rsidP="00AD5E04">
            <w:pPr>
              <w:pStyle w:val="ListBullet2"/>
            </w:pPr>
            <w:r w:rsidRPr="00AD5E04">
              <w:t>WHS/OHS and environmental procedures and regulations relevant to the current ADG Code</w:t>
            </w:r>
          </w:p>
          <w:p w:rsidR="00000000" w:rsidRPr="00AD5E04" w:rsidP="00AD5E04">
            <w:pPr>
              <w:pStyle w:val="ListBullet"/>
            </w:pPr>
            <w:r w:rsidRPr="00AD5E04">
              <w:t>workplace procedures for:</w:t>
            </w:r>
          </w:p>
          <w:p w:rsidR="00000000" w:rsidRPr="00AD5E04" w:rsidP="00AD5E04">
            <w:pPr>
              <w:pStyle w:val="ListBullet2"/>
            </w:pPr>
            <w:r w:rsidRPr="00AD5E04">
              <w:t>emergency management plan</w:t>
            </w:r>
          </w:p>
          <w:p w:rsidR="00000000" w:rsidRPr="00AD5E04" w:rsidP="00AD5E04">
            <w:pPr>
              <w:pStyle w:val="ListBullet2"/>
            </w:pPr>
            <w:r w:rsidRPr="00AD5E04">
              <w:t>managing and controlling hazardous situations when carrying out work activities</w:t>
            </w:r>
          </w:p>
          <w:p w:rsidR="00000000" w:rsidRPr="00AD5E04" w:rsidP="00AD5E04">
            <w:pPr>
              <w:pStyle w:val="ListBullet2"/>
            </w:pPr>
            <w:r w:rsidRPr="00AD5E04">
              <w:t>safe transfer and storage of dangerous goods and hazardous materials</w:t>
            </w:r>
          </w:p>
          <w:p w:rsidR="00000000" w:rsidRPr="00AD5E04" w:rsidP="00AD5E04">
            <w:pPr>
              <w:pStyle w:val="ListBullet2"/>
            </w:pPr>
            <w:r w:rsidRPr="00AD5E04">
              <w:t>transport emergency response plan (TERP).</w:t>
            </w:r>
          </w:p>
        </w:tc>
      </w:tr>
    </w:tbl>
    <w:p w:rsidR="00E40489" w:rsidP="00AD5E04">
      <w:pPr>
        <w:pStyle w:val="NoPaddingFontSize1"/>
      </w:pPr>
    </w:p>
    <w:p w:rsidR="00E40489" w:rsidP="00AD5E04">
      <w:pPr>
        <w:pStyle w:val="NoPaddingFontSize1"/>
      </w:pPr>
    </w:p>
    <w:p w:rsidR="00000000" w:rsidRPr="00AD5E04" w:rsidP="00AD5E04">
      <w:pPr>
        <w:pStyle w:val="Heading1"/>
      </w:pPr>
      <w:bookmarkStart w:id="4" w:name="O_1195961"/>
      <w:bookmarkEnd w:id="4"/>
      <w:r w:rsidRPr="00AD5E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E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04" w:rsidP="00AD5E04">
            <w:pPr>
              <w:pStyle w:val="BodyText"/>
            </w:pPr>
            <w:r w:rsidRPr="00AD5E04">
              <w:t xml:space="preserve">Assessors must hold credentials specified within the Standards for Registered Training Organisations current at the time of assessment. </w:t>
            </w:r>
          </w:p>
          <w:p w:rsidR="00000000" w:rsidRPr="00AD5E04" w:rsidP="00AD5E04">
            <w:pPr>
              <w:pStyle w:val="BodyText"/>
            </w:pPr>
            <w:r w:rsidRPr="00AD5E04">
              <w:t>Assessment must satisfy the Principles of Assessment and Rules of Evidence and all regulatory requirements included wit</w:t>
            </w:r>
            <w:r w:rsidRPr="00AD5E04">
              <w:t>hin the Standards for Registered Training Organisations current at the time of assessment.</w:t>
            </w:r>
          </w:p>
          <w:p w:rsidR="00000000" w:rsidRPr="00AD5E04" w:rsidP="00AD5E04">
            <w:pPr>
              <w:pStyle w:val="BodyText"/>
            </w:pPr>
            <w:r w:rsidRPr="00AD5E04">
              <w:t>Assessment must occur in workplace operational situations where it is appropriate to do so; where this is not appropriate, assessment must occur in simulated workpla</w:t>
            </w:r>
            <w:r w:rsidRPr="00AD5E04">
              <w:t>ce operational situations that replicate workplace conditions.</w:t>
            </w:r>
          </w:p>
          <w:p w:rsidR="00000000" w:rsidRPr="00AD5E04" w:rsidP="00AD5E04">
            <w:pPr>
              <w:pStyle w:val="BodyText"/>
            </w:pPr>
            <w:r w:rsidRPr="00AD5E0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D5E04" w:rsidP="00AD5E04">
            <w:pPr>
              <w:pStyle w:val="BodyText"/>
            </w:pPr>
            <w:r w:rsidRPr="00AD5E04">
              <w:t xml:space="preserve">Resources for assessment </w:t>
            </w:r>
            <w:r w:rsidRPr="00AD5E04">
              <w:t>must include access to:</w:t>
            </w:r>
          </w:p>
          <w:p w:rsidR="00000000" w:rsidRPr="00AD5E04" w:rsidP="00AD5E04">
            <w:pPr>
              <w:pStyle w:val="ListBullet"/>
            </w:pPr>
            <w:r w:rsidRPr="00AD5E04">
              <w:t>a range of relevant exercises, case studies and/or simulations</w:t>
            </w:r>
          </w:p>
          <w:p w:rsidR="00000000" w:rsidRPr="00AD5E04" w:rsidP="00AD5E04">
            <w:pPr>
              <w:pStyle w:val="ListBullet"/>
            </w:pPr>
            <w:r w:rsidRPr="00AD5E04">
              <w:t xml:space="preserve">relevant and appropriate materials, tools, equipment and personal protective equipment (PPE) currently used in industry </w:t>
            </w:r>
          </w:p>
          <w:p w:rsidR="00000000" w:rsidRPr="00AD5E04" w:rsidP="00AD5E04">
            <w:pPr>
              <w:pStyle w:val="ListBullet"/>
            </w:pPr>
            <w:r w:rsidRPr="00AD5E04">
              <w:t>applicable documentation, including legislation</w:t>
            </w:r>
            <w:r w:rsidRPr="00AD5E04">
              <w:t>, regulations, current ADG Code, TERP, codes of practice, workplace procedures and operation manuals.</w:t>
            </w:r>
          </w:p>
        </w:tc>
      </w:tr>
    </w:tbl>
    <w:p w:rsidR="00E40489" w:rsidP="00AD5E04">
      <w:pPr>
        <w:pStyle w:val="NoPaddingFontSize1"/>
      </w:pPr>
    </w:p>
    <w:p w:rsidR="00E40489" w:rsidP="00AD5E04">
      <w:pPr>
        <w:pStyle w:val="NoPaddingFontSize1"/>
      </w:pPr>
    </w:p>
    <w:p w:rsidR="00000000" w:rsidRPr="00AD5E04" w:rsidP="00AD5E04">
      <w:pPr>
        <w:pStyle w:val="Heading1"/>
      </w:pPr>
      <w:bookmarkStart w:id="5" w:name="O_1195976"/>
      <w:bookmarkEnd w:id="5"/>
      <w:r w:rsidRPr="00AD5E04">
        <w:t>Links</w:t>
      </w:r>
    </w:p>
    <w:p w:rsidR="00000000" w:rsidRPr="00AD5E04" w:rsidP="00E40489">
      <w:pPr>
        <w:pStyle w:val="BodyText"/>
      </w:pPr>
      <w:r w:rsidRPr="00AD5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4674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D5E04" w:rsidP="00AD5E04"/>
    <w:sectPr w:rsidSect="00AD5E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04" w:rsidRPr="00E40489" w:rsidP="00E40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89" w:rsidP="00AD5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0489" w:rsidP="00AD5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0489" w:rsidP="00AD5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E04" w:rsidRPr="00E40489" w:rsidP="00E40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89" w:rsidRPr="002D2AF8" w:rsidP="00AD5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TLIF4065 Ensure compliance with Australian Dangerous Goods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40489" w:rsidP="00AD5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DC5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02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6D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E04"/>
  </w:style>
  <w:style w:type="character" w:customStyle="1" w:styleId="Heading1Char">
    <w:name w:val="Heading 1 Char"/>
    <w:basedOn w:val="DefaultParagraphFont"/>
    <w:link w:val="Heading1"/>
    <w:rsid w:val="00AD5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E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E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E04"/>
    <w:rPr>
      <w:b/>
      <w:spacing w:val="0"/>
    </w:rPr>
  </w:style>
  <w:style w:type="paragraph" w:styleId="ListBullet2">
    <w:name w:val="List Bullet 2"/>
    <w:basedOn w:val="List2"/>
    <w:rsid w:val="00AD5E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5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5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E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E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E04"/>
    <w:rPr>
      <w:i/>
    </w:rPr>
  </w:style>
  <w:style w:type="paragraph" w:styleId="Caption">
    <w:name w:val="caption"/>
    <w:basedOn w:val="BodyText"/>
    <w:next w:val="Normal"/>
    <w:qFormat/>
    <w:rsid w:val="00AD5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E04"/>
  </w:style>
  <w:style w:type="paragraph" w:styleId="TableofFigures">
    <w:name w:val="table of figures"/>
    <w:basedOn w:val="Normal"/>
    <w:next w:val="Normal"/>
    <w:semiHidden/>
    <w:rsid w:val="00AD5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E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5E04"/>
    <w:rPr>
      <w:rFonts w:ascii="Wingdings" w:hAnsi="Wingdings"/>
    </w:rPr>
  </w:style>
  <w:style w:type="paragraph" w:customStyle="1" w:styleId="TableHeading">
    <w:name w:val="Table Heading"/>
    <w:basedOn w:val="HeadingBase"/>
    <w:rsid w:val="00AD5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E04"/>
    <w:rPr>
      <w:color w:val="0033CC"/>
      <w:u w:val="none"/>
    </w:rPr>
  </w:style>
  <w:style w:type="paragraph" w:customStyle="1" w:styleId="BodyTextRight">
    <w:name w:val="Body Text Right"/>
    <w:basedOn w:val="BodyText"/>
    <w:rsid w:val="00AD5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E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E04"/>
    <w:rPr>
      <w:sz w:val="32"/>
    </w:rPr>
  </w:style>
  <w:style w:type="paragraph" w:customStyle="1" w:styleId="HeadingProcedure">
    <w:name w:val="Heading Procedure"/>
    <w:basedOn w:val="HeadingBase"/>
    <w:next w:val="Normal"/>
    <w:rsid w:val="00AD5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E04"/>
    <w:pPr>
      <w:spacing w:before="60" w:after="60"/>
    </w:pPr>
  </w:style>
  <w:style w:type="paragraph" w:styleId="ListContinue">
    <w:name w:val="List Continue"/>
    <w:basedOn w:val="List"/>
    <w:rsid w:val="00AD5E04"/>
    <w:pPr>
      <w:ind w:firstLine="0"/>
    </w:pPr>
  </w:style>
  <w:style w:type="paragraph" w:customStyle="1" w:styleId="ListNote">
    <w:name w:val="List Note"/>
    <w:basedOn w:val="List"/>
    <w:rsid w:val="00AD5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E04"/>
    <w:rPr>
      <w:rFonts w:ascii="Courier New" w:hAnsi="Courier New"/>
    </w:rPr>
  </w:style>
  <w:style w:type="paragraph" w:customStyle="1" w:styleId="NoteBullet">
    <w:name w:val="Note Bullet"/>
    <w:basedOn w:val="Note"/>
    <w:rsid w:val="00AD5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E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E04"/>
    <w:rPr>
      <w:b/>
      <w:smallCaps/>
    </w:rPr>
  </w:style>
  <w:style w:type="paragraph" w:customStyle="1" w:styleId="TableListNumber">
    <w:name w:val="Table List Number"/>
    <w:basedOn w:val="ListNumber"/>
    <w:rsid w:val="00AD5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E04"/>
    <w:pPr>
      <w:numPr>
        <w:numId w:val="9"/>
      </w:numPr>
    </w:pPr>
  </w:style>
  <w:style w:type="paragraph" w:customStyle="1" w:styleId="ListAlpha2">
    <w:name w:val="List Alpha 2"/>
    <w:basedOn w:val="List2"/>
    <w:rsid w:val="00AD5E04"/>
    <w:pPr>
      <w:numPr>
        <w:numId w:val="8"/>
      </w:numPr>
    </w:pPr>
  </w:style>
  <w:style w:type="paragraph" w:styleId="List2">
    <w:name w:val="List 2"/>
    <w:basedOn w:val="BodyText"/>
    <w:rsid w:val="00AD5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E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E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E04"/>
    <w:pPr>
      <w:numPr>
        <w:numId w:val="4"/>
      </w:numPr>
    </w:pPr>
  </w:style>
  <w:style w:type="paragraph" w:styleId="ListContinue2">
    <w:name w:val="List Continue 2"/>
    <w:basedOn w:val="List2"/>
    <w:rsid w:val="00AD5E04"/>
    <w:pPr>
      <w:ind w:firstLine="0"/>
    </w:pPr>
  </w:style>
  <w:style w:type="paragraph" w:styleId="ListContinue3">
    <w:name w:val="List Continue 3"/>
    <w:basedOn w:val="List3"/>
    <w:rsid w:val="00AD5E04"/>
    <w:pPr>
      <w:ind w:left="1021" w:firstLine="0"/>
    </w:pPr>
  </w:style>
  <w:style w:type="paragraph" w:styleId="ListContinue4">
    <w:name w:val="List Continue 4"/>
    <w:basedOn w:val="List4"/>
    <w:rsid w:val="00AD5E04"/>
    <w:pPr>
      <w:ind w:firstLine="0"/>
    </w:pPr>
  </w:style>
  <w:style w:type="paragraph" w:styleId="ListContinue5">
    <w:name w:val="List Continue 5"/>
    <w:basedOn w:val="List5"/>
    <w:rsid w:val="00AD5E04"/>
    <w:pPr>
      <w:ind w:firstLine="0"/>
    </w:pPr>
  </w:style>
  <w:style w:type="paragraph" w:styleId="ListNumber3">
    <w:name w:val="List Number 3"/>
    <w:basedOn w:val="List3"/>
    <w:rsid w:val="00AD5E04"/>
    <w:pPr>
      <w:numPr>
        <w:numId w:val="5"/>
      </w:numPr>
    </w:pPr>
  </w:style>
  <w:style w:type="paragraph" w:styleId="ListNumber4">
    <w:name w:val="List Number 4"/>
    <w:basedOn w:val="List4"/>
    <w:rsid w:val="00AD5E04"/>
    <w:pPr>
      <w:numPr>
        <w:numId w:val="6"/>
      </w:numPr>
    </w:pPr>
  </w:style>
  <w:style w:type="paragraph" w:styleId="ListNumber5">
    <w:name w:val="List Number 5"/>
    <w:basedOn w:val="List5"/>
    <w:rsid w:val="00AD5E04"/>
    <w:pPr>
      <w:numPr>
        <w:numId w:val="7"/>
      </w:numPr>
    </w:pPr>
  </w:style>
  <w:style w:type="paragraph" w:styleId="BlockText">
    <w:name w:val="Block Text"/>
    <w:basedOn w:val="Normal"/>
    <w:rsid w:val="00AD5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E04"/>
    <w:rPr>
      <w:sz w:val="16"/>
      <w:vertAlign w:val="superscript"/>
    </w:rPr>
  </w:style>
  <w:style w:type="character" w:customStyle="1" w:styleId="Symbols">
    <w:name w:val="Symbols"/>
    <w:basedOn w:val="DefaultParagraphFont"/>
    <w:rsid w:val="00AD5E04"/>
    <w:rPr>
      <w:rFonts w:ascii="Symbol" w:hAnsi="Symbol"/>
    </w:rPr>
  </w:style>
  <w:style w:type="character" w:customStyle="1" w:styleId="MenuOptions">
    <w:name w:val="Menu Options"/>
    <w:basedOn w:val="DefaultParagraphFont"/>
    <w:rsid w:val="00AD5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E04"/>
    <w:rPr>
      <w:b/>
    </w:rPr>
  </w:style>
  <w:style w:type="character" w:customStyle="1" w:styleId="Underlined">
    <w:name w:val="Underlined"/>
    <w:basedOn w:val="DefaultParagraphFont"/>
    <w:rsid w:val="00AD5E04"/>
    <w:rPr>
      <w:u w:val="single"/>
    </w:rPr>
  </w:style>
  <w:style w:type="paragraph" w:customStyle="1" w:styleId="TableBodyTextRight">
    <w:name w:val="Table Body Text Right"/>
    <w:basedOn w:val="TableBodyText"/>
    <w:rsid w:val="00AD5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E04"/>
    <w:rPr>
      <w:sz w:val="18"/>
    </w:rPr>
  </w:style>
  <w:style w:type="paragraph" w:customStyle="1" w:styleId="BodySmallRight">
    <w:name w:val="Body Small Right"/>
    <w:basedOn w:val="BodyTextRight"/>
    <w:rsid w:val="00AD5E04"/>
    <w:rPr>
      <w:sz w:val="18"/>
      <w:szCs w:val="18"/>
    </w:rPr>
  </w:style>
  <w:style w:type="paragraph" w:customStyle="1" w:styleId="MarginEdition">
    <w:name w:val="Margin Edition"/>
    <w:basedOn w:val="MarginNote"/>
    <w:rsid w:val="00AD5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E04"/>
    <w:rPr>
      <w:sz w:val="2"/>
      <w:szCs w:val="2"/>
    </w:rPr>
  </w:style>
  <w:style w:type="character" w:customStyle="1" w:styleId="Small">
    <w:name w:val="Small"/>
    <w:basedOn w:val="DefaultParagraphFont"/>
    <w:rsid w:val="00AD5E04"/>
    <w:rPr>
      <w:sz w:val="16"/>
    </w:rPr>
  </w:style>
  <w:style w:type="paragraph" w:customStyle="1" w:styleId="WideTable">
    <w:name w:val="Wide Table"/>
    <w:basedOn w:val="Normal"/>
    <w:rsid w:val="00AD5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E04"/>
  </w:style>
  <w:style w:type="paragraph" w:styleId="Quote">
    <w:name w:val="Quote"/>
    <w:basedOn w:val="Heading1"/>
    <w:link w:val="QuoteChar"/>
    <w:qFormat/>
    <w:rsid w:val="00AD5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E04"/>
    <w:pPr>
      <w:pageBreakBefore/>
    </w:pPr>
  </w:style>
  <w:style w:type="paragraph" w:customStyle="1" w:styleId="Border">
    <w:name w:val="Border"/>
    <w:basedOn w:val="Normal"/>
    <w:qFormat/>
    <w:rsid w:val="00AD5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E04"/>
    <w:rPr>
      <w:u w:val="single"/>
    </w:rPr>
  </w:style>
  <w:style w:type="character" w:customStyle="1" w:styleId="BoldandItalics">
    <w:name w:val="Bold and Italics"/>
    <w:qFormat/>
    <w:rsid w:val="00AD5E04"/>
    <w:rPr>
      <w:b/>
      <w:i/>
      <w:u w:val="none"/>
    </w:rPr>
  </w:style>
  <w:style w:type="paragraph" w:styleId="BalloonText">
    <w:name w:val="Balloon Text"/>
    <w:basedOn w:val="Normal"/>
    <w:link w:val="BalloonTextChar"/>
    <w:rsid w:val="00AD5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E04"/>
    <w:pPr>
      <w:spacing w:before="0" w:after="0"/>
    </w:pPr>
  </w:style>
  <w:style w:type="paragraph" w:customStyle="1" w:styleId="BodyTextBold">
    <w:name w:val="Body Text Bold"/>
    <w:basedOn w:val="BodyText"/>
    <w:qFormat/>
    <w:rsid w:val="00AD5E04"/>
    <w:rPr>
      <w:b/>
    </w:rPr>
  </w:style>
  <w:style w:type="character" w:styleId="Hyperlink">
    <w:name w:val="Hyperlink"/>
    <w:basedOn w:val="DefaultParagraphFont"/>
    <w:uiPriority w:val="99"/>
    <w:unhideWhenUsed/>
    <w:rsid w:val="00E40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3233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TLIF4065 Ensure compliance with Australian Dangerous Goods Code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