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6F1" w:rsidP="00303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TLIF4064 Manage fatigue management policy and procedures</w:t>
      </w:r>
      <w:r>
        <w:fldChar w:fldCharType="end"/>
      </w:r>
    </w:p>
    <w:p w:rsidR="003036F1" w:rsidP="003036F1">
      <w:pPr>
        <w:pStyle w:val="Version"/>
        <w:sectPr w:rsidSect="00C11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31E" w:rsidP="00C1131E">
      <w:pPr>
        <w:pStyle w:val="SuperHeading"/>
      </w:pPr>
      <w:r w:rsidRPr="00C1131E">
        <w:t>TLIF4064 Manage fatigue management policy and procedures</w:t>
      </w:r>
    </w:p>
    <w:p w:rsidR="00000000" w:rsidRPr="00C1131E" w:rsidP="00C1131E">
      <w:pPr>
        <w:pStyle w:val="Heading1"/>
      </w:pPr>
      <w:bookmarkStart w:id="1" w:name="O_740583"/>
      <w:bookmarkEnd w:id="1"/>
      <w:r w:rsidRPr="00C1131E">
        <w:t>Modification History</w:t>
      </w:r>
    </w:p>
    <w:p w:rsidR="003036F1" w:rsidP="003036F1">
      <w:pPr>
        <w:pStyle w:val="BodyText"/>
      </w:pPr>
      <w:r w:rsidRPr="00C1131E">
        <w:t>Release 1. This is the first release of this unit of competency in the TLI Transport and Logistics Training Package.</w:t>
      </w:r>
    </w:p>
    <w:p w:rsidR="00000000" w:rsidRPr="00C1131E" w:rsidP="00C1131E">
      <w:pPr>
        <w:pStyle w:val="Heading1"/>
      </w:pPr>
      <w:bookmarkStart w:id="2" w:name="O_740584"/>
      <w:bookmarkEnd w:id="2"/>
      <w:r w:rsidRPr="00C1131E">
        <w:t>Application</w:t>
      </w:r>
    </w:p>
    <w:p w:rsidR="00000000" w:rsidRPr="00C1131E" w:rsidP="003036F1">
      <w:pPr>
        <w:pStyle w:val="BodyText"/>
      </w:pPr>
      <w:r w:rsidRPr="00C1131E">
        <w:t>This unit involves the skills and knowledge required to manage organisat</w:t>
      </w:r>
      <w:r w:rsidRPr="00C1131E">
        <w:t>ional fatigue management policy and procedures in accordance with relevant legislation and regulations.</w:t>
      </w:r>
    </w:p>
    <w:p w:rsidR="00000000" w:rsidRPr="00C1131E" w:rsidP="003036F1">
      <w:pPr>
        <w:pStyle w:val="BodyText"/>
      </w:pPr>
      <w:r w:rsidRPr="00C1131E">
        <w:t xml:space="preserve">It includes identifying legal requirements, liabilities and responsibilities for establishing and/or improving fatigue management implementation plans, </w:t>
      </w:r>
      <w:r w:rsidRPr="00C1131E">
        <w:t>policies and procedures. It also includes acting appropriately on reports and identified breaches of fatigue management regulations.</w:t>
      </w:r>
    </w:p>
    <w:p w:rsidR="00000000" w:rsidRPr="00C1131E" w:rsidP="003036F1">
      <w:pPr>
        <w:pStyle w:val="BodyText"/>
      </w:pPr>
      <w:r w:rsidRPr="00C1131E">
        <w:t>It also includes ensuring operational systems are compliant with fatigue management regulations and policy; planning and or</w:t>
      </w:r>
      <w:r w:rsidRPr="00C1131E">
        <w:t>ganising adequate resources and operational systems; and facilitating the training and assessment of staff on their responsibilities and fatigue management techniques.</w:t>
      </w:r>
    </w:p>
    <w:p w:rsidR="00000000" w:rsidRPr="00C1131E" w:rsidP="003036F1">
      <w:pPr>
        <w:pStyle w:val="BodyText"/>
      </w:pPr>
      <w:r w:rsidRPr="00C1131E">
        <w:t>Work is performed under minimum supervision generally as a manager.</w:t>
      </w:r>
    </w:p>
    <w:p w:rsidR="003036F1" w:rsidP="003036F1">
      <w:pPr>
        <w:pStyle w:val="BodyText"/>
      </w:pPr>
      <w:r w:rsidRPr="00C1131E">
        <w:t>No licensing, legisl</w:t>
      </w:r>
      <w:r w:rsidRPr="00C1131E">
        <w:t>ative or certification requirements apply to this unit at the time of publication.</w:t>
      </w:r>
    </w:p>
    <w:p w:rsidR="00000000" w:rsidRPr="00C1131E" w:rsidP="00C1131E">
      <w:pPr>
        <w:pStyle w:val="Heading1"/>
      </w:pPr>
      <w:bookmarkStart w:id="3" w:name="O_740585"/>
      <w:bookmarkEnd w:id="3"/>
      <w:r w:rsidRPr="00C1131E">
        <w:t>Pre-requisite Unit</w:t>
      </w:r>
    </w:p>
    <w:p w:rsidR="00000000" w:rsidRPr="00C1131E" w:rsidP="003036F1">
      <w:pPr>
        <w:pStyle w:val="BodyText"/>
      </w:pPr>
      <w:r w:rsidRPr="00C1131E">
        <w:t>Not applicable.</w:t>
      </w:r>
    </w:p>
    <w:p w:rsidR="00000000" w:rsidRPr="00C1131E" w:rsidP="00C1131E">
      <w:pPr>
        <w:pStyle w:val="Heading1"/>
      </w:pPr>
      <w:bookmarkStart w:id="4" w:name="O_740586"/>
      <w:bookmarkEnd w:id="4"/>
      <w:r w:rsidRPr="00C1131E">
        <w:t>Competency Field</w:t>
      </w:r>
    </w:p>
    <w:p w:rsidR="00000000" w:rsidRPr="00C1131E" w:rsidP="003036F1">
      <w:pPr>
        <w:pStyle w:val="BodyText"/>
      </w:pPr>
      <w:r w:rsidRPr="00C1131E">
        <w:t>F ‒ Safety Management</w:t>
      </w:r>
    </w:p>
    <w:p w:rsidR="00000000" w:rsidRPr="00C1131E" w:rsidP="00C1131E">
      <w:pPr>
        <w:pStyle w:val="Heading1"/>
      </w:pPr>
      <w:bookmarkStart w:id="5" w:name="O_740587"/>
      <w:bookmarkEnd w:id="5"/>
      <w:r w:rsidRPr="00C1131E">
        <w:t>Unit Sector</w:t>
      </w:r>
    </w:p>
    <w:p w:rsidR="00000000" w:rsidRPr="00C1131E" w:rsidP="003036F1">
      <w:pPr>
        <w:pStyle w:val="BodyText"/>
      </w:pPr>
      <w:r w:rsidRPr="00C1131E">
        <w:t>Not applicable.</w:t>
      </w:r>
    </w:p>
    <w:p w:rsidR="00000000" w:rsidRPr="00C1131E" w:rsidP="00C1131E">
      <w:pPr>
        <w:pStyle w:val="Heading1"/>
      </w:pPr>
      <w:bookmarkStart w:id="6" w:name="O_740588"/>
      <w:bookmarkEnd w:id="6"/>
      <w:r w:rsidRPr="00C1131E">
        <w:t>El</w:t>
      </w:r>
      <w:r w:rsidRPr="00C1131E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>PERFORMANCE CRITERIA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 xml:space="preserve">Elements describe the </w:t>
            </w:r>
            <w:r w:rsidRPr="00C1131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Performance criteria describe the performance needed to demonstrate achievement of the element.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>Identify or confirm fatigue ma</w:t>
            </w:r>
            <w:r w:rsidRPr="00C1131E">
              <w:rPr>
                <w:rStyle w:val="SpecialBold"/>
              </w:rPr>
              <w:t>nagement legal requirements and responsibilities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Current legal requirements, liabilities and responsibilities for effective fatigue management within the organisation are identified and interpreted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Existing fatigue management plans, policies and procedures are obtained and reviewed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Internal risks concerning the potential effects of fatigue are identified or confirmed and reviewed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 xml:space="preserve">External risks within the organisational services and/or </w:t>
            </w:r>
            <w:r w:rsidRPr="00C1131E">
              <w:t>products supply chain concerning the potential effects of fatigue are identified or confirmed and reviewed in accordance with fatigue management regulations and the related chain of responsibility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>Establish and improve fatigue management policy and proc</w:t>
            </w:r>
            <w:r w:rsidRPr="00C1131E">
              <w:rPr>
                <w:rStyle w:val="SpecialBold"/>
              </w:rPr>
              <w:t>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Organisational fatigue risk management system implementation plan is developed or reviewed and improved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Organisational fatigue risk management policy and procedures are developed or reviewed and improved in conjunction with relevant personnel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Feedback is obtained on the implementation plan and related policies and procedures from key stakeholders inte</w:t>
            </w:r>
            <w:r w:rsidRPr="00C1131E">
              <w:t xml:space="preserve">rnal and external to the organisation 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Appropriate adjustments are made to the plan, policies and procedures based on the feedback received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Managerial approval for the fatigue risk management system implementation plan and related policies and procedures is obtained in accordance with organisational procedures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Fatigue risk management system implementation plan and the related policies a</w:t>
            </w:r>
            <w:r w:rsidRPr="00C1131E">
              <w:t>nd procedures are distributed and presented to relevant organisational personnel for implementation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>Act upon reports on the implementation of fatigue management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Reports from designated personnel on the implementation of the organisational fat</w:t>
            </w:r>
            <w:r w:rsidRPr="00C1131E">
              <w:t>igue risk management system implementation plan and related policies and procedures are received and interpreted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 xml:space="preserve">Accidents </w:t>
            </w:r>
            <w:r w:rsidRPr="00C1131E">
              <w:t>and safety incidents are reviewed and/or investigated and analysed to identify the extent to which fatigue might have been a contributing factor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Information provided in the reports indicating that fatigue management policy and procedures are not bei</w:t>
            </w:r>
            <w:r w:rsidRPr="00C1131E">
              <w:t>ng correctly implemented is analysed and an appropriate managerial response and related action is initiated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Opportunities for improvements to the organisational fatigue risk management system implementation plan and related policies and procedures a</w:t>
            </w:r>
            <w:r w:rsidRPr="00C1131E">
              <w:t>re identified and appropriate action is taken to make the necessary adjustments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 xml:space="preserve">Act upon identified fatigue management </w:t>
            </w:r>
            <w:r w:rsidRPr="00C1131E">
              <w:rPr>
                <w:rStyle w:val="SpecialBold"/>
              </w:rPr>
              <w:t>regulations breaches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Identified or reported fatigue management policy breaches are investigated in accordance with organisational procedures and regulatory requirements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Action is taken to ensure internal and/or external personnel who may have contributed to any breach o</w:t>
            </w:r>
            <w:r w:rsidRPr="00C1131E">
              <w:t>f fatigue management policy are provided with appropriate feedback and information to avoid recurrence of the breakdown in planned fatigue management processes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Where organisational procedures or culture is found to have contributed to a breach in fatigue management policy, appropriate action is taken to improve procedures or to address the culture in ways that aim to avoid a recurrence of the breakdown in planned</w:t>
            </w:r>
            <w:r w:rsidRPr="00C1131E">
              <w:t xml:space="preserve"> fatigue management processes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Report on breaches of fatigue management policy is prepared and submitted to designated personnel with details of action taken to prevent a recurrence, in accordance with organisational procedures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>Ensure that operati</w:t>
            </w:r>
            <w:r w:rsidRPr="00C1131E">
              <w:rPr>
                <w:rStyle w:val="SpecialBold"/>
              </w:rPr>
              <w:t>ons systems are compliant with fatigue management regulations and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All operations systems and standard operating procedures are reviewed in terms of their compliance with the organisational fatigue management regulations and policy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Where necessary, changes are made to operations systems and standard operating procedures to ensure that they are compliant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In accordance with the chain of responsibility principles, appropriate discussions are held with relevant personnel in suppli</w:t>
            </w:r>
            <w:r w:rsidRPr="00C1131E">
              <w:t>er or subcontractor companies in the organisational supply chain to ensure their operational systems and standard operating procedures are compliant with the fatigue management regulations and policy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 xml:space="preserve">Plan and organise adequate resources and operational </w:t>
            </w:r>
            <w:r w:rsidRPr="00C1131E">
              <w:rPr>
                <w:rStyle w:val="SpecialBold"/>
              </w:rPr>
              <w:t>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Organisational budgets and resource allocation strategies are planned to provide adequate resources for the implementation of the organisational fatigue risk management system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Periodic reviews are undertaken of budgetary and re</w:t>
            </w:r>
            <w:r w:rsidRPr="00C1131E">
              <w:t>source allocation arrangements as they relate to implementing the organisational fatigue risk management systems and appropriate improvements are made as required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rPr>
                <w:rStyle w:val="SpecialBold"/>
              </w:rPr>
              <w:t>Facilitate the training and assessment of staff on fatigue management policy and procedure</w:t>
            </w:r>
            <w:r w:rsidRPr="00C1131E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Organisational training systems are planned to provide competency-based on-the-job and off-the-job training and assessment opportunities as detailed in the organisational strategic plan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Team leaders, supervisory and training staff are provided</w:t>
            </w:r>
            <w:r w:rsidRPr="00C1131E">
              <w:t xml:space="preserve"> with adequate opportunities to develop the required expertise to contribute to the organisational fatigue management training and assessment activities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t>Periodic reviews are undertaken of fatigue management training systems and appropriate improvements are made as required</w:t>
            </w:r>
          </w:p>
        </w:tc>
      </w:tr>
    </w:tbl>
    <w:p w:rsidR="003036F1" w:rsidP="00C1131E">
      <w:pPr>
        <w:pStyle w:val="BodyText"/>
      </w:pPr>
    </w:p>
    <w:p w:rsidR="003036F1" w:rsidP="00C1131E">
      <w:pPr>
        <w:pStyle w:val="BodyText"/>
      </w:pPr>
    </w:p>
    <w:p w:rsidR="00000000" w:rsidRPr="00C1131E" w:rsidP="00C1131E">
      <w:pPr>
        <w:pStyle w:val="Heading1"/>
      </w:pPr>
      <w:bookmarkStart w:id="7" w:name="O_740589"/>
      <w:bookmarkEnd w:id="7"/>
      <w:r w:rsidRPr="00C1131E">
        <w:t>Foundation Skills</w:t>
      </w:r>
    </w:p>
    <w:p w:rsidR="00000000" w:rsidRPr="00C1131E" w:rsidP="003036F1">
      <w:pPr>
        <w:pStyle w:val="BodyText"/>
      </w:pPr>
      <w:r w:rsidRPr="00C1131E">
        <w:t xml:space="preserve">Foundation skills essential to performance are explicit in the performance criteria of this unit </w:t>
      </w:r>
      <w:r w:rsidRPr="00C1131E">
        <w:t>of competency.</w:t>
      </w:r>
    </w:p>
    <w:p w:rsidR="00000000" w:rsidRPr="00C1131E" w:rsidP="00C1131E">
      <w:pPr>
        <w:pStyle w:val="Heading1"/>
      </w:pPr>
      <w:bookmarkStart w:id="8" w:name="O_740590"/>
      <w:bookmarkEnd w:id="8"/>
      <w:r w:rsidRPr="00C1131E">
        <w:t>Range of Conditions</w:t>
      </w:r>
    </w:p>
    <w:p w:rsidR="00000000" w:rsidRPr="00C1131E" w:rsidP="003036F1">
      <w:pPr>
        <w:pStyle w:val="BodyText"/>
      </w:pPr>
      <w:r w:rsidRPr="00C1131E">
        <w:t>Range is restricted to essential operating conditions and any other variables essential to the work environment.</w:t>
      </w:r>
    </w:p>
    <w:p w:rsidR="003036F1" w:rsidP="003036F1">
      <w:pPr>
        <w:pStyle w:val="BodyText"/>
      </w:pPr>
      <w:r w:rsidRPr="00C1131E">
        <w:t>Non-essential conditions can be found in the Companion Volume Implementation Guide.</w:t>
      </w:r>
    </w:p>
    <w:p w:rsidR="00000000" w:rsidRPr="00C1131E" w:rsidP="00C1131E">
      <w:pPr>
        <w:pStyle w:val="Heading1"/>
      </w:pPr>
      <w:bookmarkStart w:id="9" w:name="O_740591"/>
      <w:bookmarkEnd w:id="9"/>
      <w:r w:rsidRPr="00C1131E">
        <w:t>Unit Mapping Information</w:t>
      </w:r>
    </w:p>
    <w:p w:rsidR="003036F1" w:rsidP="003036F1">
      <w:pPr>
        <w:pStyle w:val="BodyText"/>
      </w:pPr>
      <w:r w:rsidRPr="00C1131E">
        <w:t>This unit replaces and is equivalent to TLIF4064A Manage fatigue management policy and procedures.</w:t>
      </w:r>
    </w:p>
    <w:p w:rsidR="00000000" w:rsidRPr="00C1131E" w:rsidP="00C1131E">
      <w:pPr>
        <w:pStyle w:val="Heading1"/>
      </w:pPr>
      <w:bookmarkStart w:id="10" w:name="O_740598"/>
      <w:bookmarkEnd w:id="10"/>
      <w:r w:rsidRPr="00C1131E">
        <w:t>Links</w:t>
      </w:r>
    </w:p>
    <w:p w:rsidR="00000000" w:rsidRPr="00C1131E" w:rsidP="003036F1">
      <w:pPr>
        <w:pStyle w:val="BodyText"/>
      </w:pPr>
      <w:r w:rsidRPr="00C11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42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1131E" w:rsidP="003036F1">
      <w:pPr>
        <w:pStyle w:val="BodyText"/>
        <w:sectPr w:rsidSect="00C113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131E" w:rsidP="00C1131E">
      <w:pPr>
        <w:pStyle w:val="SuperHeading"/>
      </w:pPr>
      <w:r w:rsidRPr="00C1131E">
        <w:t xml:space="preserve">Assessment Requirements for TLIF4064 Manage fatigue management </w:t>
      </w:r>
      <w:r w:rsidRPr="00C1131E">
        <w:t>policy and procedures</w:t>
      </w:r>
    </w:p>
    <w:p w:rsidR="00000000" w:rsidRPr="00C1131E" w:rsidP="00C1131E">
      <w:pPr>
        <w:pStyle w:val="Heading1"/>
      </w:pPr>
      <w:bookmarkStart w:id="11" w:name="O_740593"/>
      <w:bookmarkEnd w:id="11"/>
      <w:r w:rsidRPr="00C1131E">
        <w:t>Modification History</w:t>
      </w:r>
    </w:p>
    <w:p w:rsidR="003036F1" w:rsidP="003036F1">
      <w:pPr>
        <w:pStyle w:val="BodyText"/>
      </w:pPr>
      <w:r w:rsidRPr="00C1131E">
        <w:t>Release 1. This is the first release of this unit of competency in the TLI Transport and Logistics Training Package.</w:t>
      </w:r>
    </w:p>
    <w:p w:rsidR="00000000" w:rsidRPr="00C1131E" w:rsidP="00C1131E">
      <w:pPr>
        <w:pStyle w:val="Heading1"/>
      </w:pPr>
      <w:bookmarkStart w:id="12" w:name="O_740594"/>
      <w:bookmarkEnd w:id="12"/>
      <w:r w:rsidRPr="00C1131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Evidence required to demonstrate competen</w:t>
            </w:r>
            <w:r w:rsidRPr="00C1131E">
              <w:t>ce in this unit must be relevant to and satisfy all of the requirements of the elements and performance criteria on at least one occasion and include: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ListBullet"/>
            </w:pPr>
            <w:r w:rsidRPr="00C1131E">
              <w:t>adapting to changes in legislation and regulations as they relate to fatigue management</w:t>
            </w:r>
          </w:p>
          <w:p w:rsidR="00000000" w:rsidRPr="00C1131E" w:rsidP="00C1131E">
            <w:pPr>
              <w:pStyle w:val="ListBullet"/>
            </w:pPr>
            <w:r w:rsidRPr="00C1131E">
              <w:t>applying relevant legislation and workplace procedures</w:t>
            </w:r>
          </w:p>
          <w:p w:rsidR="00000000" w:rsidRPr="00C1131E" w:rsidP="00C1131E">
            <w:pPr>
              <w:pStyle w:val="ListBullet"/>
            </w:pPr>
            <w:r w:rsidRPr="00C1131E">
              <w:t>communicating and working effectively with others when implementing the organisational fatigue risk management system</w:t>
            </w:r>
          </w:p>
          <w:p w:rsidR="00000000" w:rsidRPr="00C1131E" w:rsidP="00C1131E">
            <w:pPr>
              <w:pStyle w:val="ListBullet"/>
            </w:pPr>
            <w:r w:rsidRPr="00C1131E">
              <w:t>facilitating systems that assist employees to identify their own learning needs abo</w:t>
            </w:r>
            <w:r w:rsidRPr="00C1131E">
              <w:t>ut fatigue management</w:t>
            </w:r>
          </w:p>
          <w:p w:rsidR="00000000" w:rsidRPr="00C1131E" w:rsidP="00C1131E">
            <w:pPr>
              <w:pStyle w:val="ListBullet"/>
            </w:pPr>
            <w:r w:rsidRPr="00C1131E">
              <w:t>modifying activities and taking appropriate initiative to manage the implementation of an organisational fatigue risk management system depending on differing contexts, risk situations and environments</w:t>
            </w:r>
          </w:p>
          <w:p w:rsidR="00000000" w:rsidRPr="00C1131E" w:rsidP="00C1131E">
            <w:pPr>
              <w:pStyle w:val="ListBullet"/>
            </w:pPr>
            <w:r w:rsidRPr="00C1131E">
              <w:t>organising audits and reviews of</w:t>
            </w:r>
            <w:r w:rsidRPr="00C1131E">
              <w:t xml:space="preserve"> an organisation’s fatigue risk management system</w:t>
            </w:r>
          </w:p>
          <w:p w:rsidR="00000000" w:rsidRPr="00C1131E" w:rsidP="00C1131E">
            <w:pPr>
              <w:pStyle w:val="ListBullet"/>
            </w:pPr>
            <w:r w:rsidRPr="00C1131E">
              <w:t>planning and organising budgetary requirements and resource allocation for implementing an organisational fatigue risk management system</w:t>
            </w:r>
          </w:p>
          <w:p w:rsidR="00000000" w:rsidRPr="00C1131E" w:rsidP="00C1131E">
            <w:pPr>
              <w:pStyle w:val="ListBullet"/>
            </w:pPr>
            <w:r w:rsidRPr="00C1131E">
              <w:t>reading and interpreting documentation on fatigue management legislat</w:t>
            </w:r>
            <w:r w:rsidRPr="00C1131E">
              <w:t>ion and the organisational fatigue risk management system and applying them to management activities</w:t>
            </w:r>
          </w:p>
          <w:p w:rsidR="00000000" w:rsidRPr="00C1131E" w:rsidP="00C1131E">
            <w:pPr>
              <w:pStyle w:val="ListBullet"/>
            </w:pPr>
            <w:r w:rsidRPr="00C1131E">
              <w:t>recognising breaches of fatigue management strategies and regulations and taking appropriate action in accordance with the organisational fatigue risk mana</w:t>
            </w:r>
            <w:r w:rsidRPr="00C1131E">
              <w:t>gement system.</w:t>
            </w:r>
          </w:p>
        </w:tc>
      </w:tr>
    </w:tbl>
    <w:p w:rsidR="00000000" w:rsidRPr="00C1131E" w:rsidP="00C1131E">
      <w:pPr>
        <w:pStyle w:val="BodyText"/>
      </w:pPr>
    </w:p>
    <w:p w:rsidR="00000000" w:rsidRPr="00C1131E" w:rsidP="00C1131E">
      <w:pPr>
        <w:pStyle w:val="AllowPageBreak"/>
      </w:pPr>
    </w:p>
    <w:p w:rsidR="00000000" w:rsidRPr="00C1131E" w:rsidP="00C1131E">
      <w:pPr>
        <w:pStyle w:val="Heading1"/>
      </w:pPr>
      <w:bookmarkStart w:id="13" w:name="O_740595"/>
      <w:bookmarkEnd w:id="13"/>
      <w:r w:rsidRPr="00C1131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1E">
            <w:pPr>
              <w:pStyle w:val="BodyText"/>
              <w:rPr>
                <w:lang w:val="en-NZ"/>
              </w:rPr>
            </w:pPr>
            <w:r w:rsidRPr="00C1131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ListBullet"/>
            </w:pPr>
            <w:r w:rsidRPr="00C1131E">
              <w:t>budgetary and resource requirements for implementing an organisational fatigue risk management system</w:t>
            </w:r>
          </w:p>
          <w:p w:rsidR="00000000" w:rsidRPr="00C1131E" w:rsidP="00C1131E">
            <w:pPr>
              <w:pStyle w:val="ListBullet"/>
            </w:pPr>
            <w:r w:rsidRPr="00C1131E">
              <w:t>causes and effects of fatigue on employees</w:t>
            </w:r>
          </w:p>
          <w:p w:rsidR="00000000" w:rsidRPr="00C1131E" w:rsidP="00C1131E">
            <w:pPr>
              <w:pStyle w:val="ListBullet"/>
            </w:pPr>
            <w:r w:rsidRPr="00C1131E">
              <w:t xml:space="preserve">components of a fatigue risk management system, and policies and procedures related to fatigue management, and </w:t>
            </w:r>
            <w:r w:rsidRPr="00C1131E">
              <w:t>the control of factors that can contribute to fatigue and fatigue-related accidents</w:t>
            </w:r>
          </w:p>
          <w:p w:rsidR="00000000" w:rsidRPr="00C1131E" w:rsidP="00C1131E">
            <w:pPr>
              <w:pStyle w:val="ListBullet"/>
            </w:pPr>
            <w:r w:rsidRPr="00C1131E">
              <w:t>factors that increase fatigue-related errors and accidents</w:t>
            </w:r>
          </w:p>
          <w:p w:rsidR="00000000" w:rsidRPr="00C1131E" w:rsidP="00C1131E">
            <w:pPr>
              <w:pStyle w:val="ListBullet"/>
            </w:pPr>
            <w:r w:rsidRPr="00C1131E">
              <w:t>fatigue reduction and proofing strategies available to an organisation that can minimise the risk of errors and s</w:t>
            </w:r>
            <w:r w:rsidRPr="00C1131E">
              <w:t>afety incidents due to fatigue such as assigning low risk tasks to periods when fatigue risk is higher</w:t>
            </w:r>
          </w:p>
          <w:p w:rsidR="00000000" w:rsidRPr="00C1131E" w:rsidP="00C1131E">
            <w:pPr>
              <w:pStyle w:val="ListBullet"/>
            </w:pPr>
            <w:r w:rsidRPr="00C1131E">
              <w:t>how fatigue affects workplace performance</w:t>
            </w:r>
          </w:p>
          <w:p w:rsidR="00000000" w:rsidRPr="00C1131E" w:rsidP="00C1131E">
            <w:pPr>
              <w:pStyle w:val="ListBullet"/>
            </w:pPr>
            <w:r w:rsidRPr="00C1131E">
              <w:t>how fatigue contributes to workplace accidents</w:t>
            </w:r>
          </w:p>
          <w:p w:rsidR="00000000" w:rsidRPr="00C1131E" w:rsidP="00C1131E">
            <w:pPr>
              <w:pStyle w:val="ListBullet"/>
            </w:pPr>
            <w:r w:rsidRPr="00C1131E">
              <w:t>lifestyles that promote the effective long-term management of fa</w:t>
            </w:r>
            <w:r w:rsidRPr="00C1131E">
              <w:t>tigue</w:t>
            </w:r>
          </w:p>
          <w:p w:rsidR="00000000" w:rsidRPr="00C1131E" w:rsidP="00C1131E">
            <w:pPr>
              <w:pStyle w:val="ListBullet"/>
            </w:pPr>
            <w:r w:rsidRPr="00C1131E">
              <w:t>options and resources for providing training and learning opportunities for employees about fatigue management and implementing an organisational fatigue risk management system, including initial induction training, in-depth training on fatigue and f</w:t>
            </w:r>
            <w:r w:rsidRPr="00C1131E">
              <w:t xml:space="preserve">atigue management </w:t>
            </w:r>
            <w:r w:rsidRPr="00C1131E">
              <w:t>techniques, remedial training where existing competence is assessed as being insufficient, and refresher training on fatigue management</w:t>
            </w:r>
          </w:p>
          <w:p w:rsidR="00000000" w:rsidRPr="00C1131E" w:rsidP="00C1131E">
            <w:pPr>
              <w:pStyle w:val="ListBullet"/>
            </w:pPr>
            <w:r w:rsidRPr="00C1131E">
              <w:t>procedures for auditing and reviewing an organisational fatigue risk management system and related pol</w:t>
            </w:r>
            <w:r w:rsidRPr="00C1131E">
              <w:t xml:space="preserve">icies and procedures, and for reporting audit outcomes </w:t>
            </w:r>
          </w:p>
          <w:p w:rsidR="00000000" w:rsidRPr="00C1131E" w:rsidP="00C1131E">
            <w:pPr>
              <w:pStyle w:val="ListBullet"/>
            </w:pPr>
            <w:r w:rsidRPr="00C1131E">
              <w:t xml:space="preserve">processes and resources for assessing employee fatigue management competence </w:t>
            </w:r>
          </w:p>
          <w:p w:rsidR="00000000" w:rsidRPr="00C1131E" w:rsidP="00C1131E">
            <w:pPr>
              <w:pStyle w:val="ListBullet"/>
            </w:pPr>
            <w:r w:rsidRPr="00C1131E">
              <w:t>relevant legislation, regulations, permit and licence requirements related to fatigue management</w:t>
            </w:r>
          </w:p>
          <w:p w:rsidR="00000000" w:rsidRPr="00C1131E" w:rsidP="00C1131E">
            <w:pPr>
              <w:pStyle w:val="ListBullet"/>
            </w:pPr>
            <w:r w:rsidRPr="00C1131E">
              <w:t xml:space="preserve">relevant work health and </w:t>
            </w:r>
            <w:r w:rsidRPr="00C1131E">
              <w:t>safety (WHS)/occupational health and safety (OHS) regulations as they relate to fatigue</w:t>
            </w:r>
          </w:p>
          <w:p w:rsidR="00000000" w:rsidRPr="00C1131E" w:rsidP="00C1131E">
            <w:pPr>
              <w:pStyle w:val="ListBullet"/>
            </w:pPr>
            <w:r w:rsidRPr="00C1131E">
              <w:t>responsibilities of an organisation and individual employees for implementing fatigue management regulations and policies, including requirements agreed with suppliers and sub-contractors in the supply chain about organisational services and products</w:t>
            </w:r>
          </w:p>
          <w:p w:rsidR="00000000" w:rsidRPr="00C1131E" w:rsidP="00C1131E">
            <w:pPr>
              <w:pStyle w:val="ListBullet"/>
            </w:pPr>
            <w:r w:rsidRPr="00C1131E">
              <w:t>risks</w:t>
            </w:r>
            <w:r w:rsidRPr="00C1131E">
              <w:t xml:space="preserve"> and hazards created by workplace fatigue </w:t>
            </w:r>
          </w:p>
          <w:p w:rsidR="00000000" w:rsidRPr="00C1131E" w:rsidP="00C1131E">
            <w:pPr>
              <w:pStyle w:val="ListBullet"/>
            </w:pPr>
            <w:r w:rsidRPr="00C1131E">
              <w:t>sources of information on fatigue</w:t>
            </w:r>
          </w:p>
          <w:p w:rsidR="00000000" w:rsidRPr="00C1131E" w:rsidP="00C1131E">
            <w:pPr>
              <w:pStyle w:val="ListBullet"/>
            </w:pPr>
            <w:r w:rsidRPr="00C1131E">
              <w:t>strategies and ways to manage fatigue</w:t>
            </w:r>
          </w:p>
          <w:p w:rsidR="00000000" w:rsidRPr="00C1131E" w:rsidP="00C1131E">
            <w:pPr>
              <w:pStyle w:val="ListBullet"/>
            </w:pPr>
            <w:r w:rsidRPr="00C1131E">
              <w:t>strategies for ensuring that the investigation and analysis of errors, safety incidents and accidents identify the extent to which fatigue is</w:t>
            </w:r>
            <w:r w:rsidRPr="00C1131E">
              <w:t xml:space="preserve"> a contributing factor</w:t>
            </w:r>
          </w:p>
          <w:p w:rsidR="00000000" w:rsidRPr="00C1131E" w:rsidP="00C1131E">
            <w:pPr>
              <w:pStyle w:val="ListBullet"/>
            </w:pPr>
            <w:r w:rsidRPr="00C1131E">
              <w:t>systems for auditing the effectiveness and efficacy of organisational fatigue risk management strategies, policies and procedures</w:t>
            </w:r>
          </w:p>
          <w:p w:rsidR="00000000" w:rsidRPr="00C1131E" w:rsidP="00C1131E">
            <w:pPr>
              <w:pStyle w:val="ListBullet"/>
            </w:pPr>
            <w:r w:rsidRPr="00C1131E">
              <w:t>ways of recognising fatigue.</w:t>
            </w:r>
          </w:p>
        </w:tc>
      </w:tr>
    </w:tbl>
    <w:p w:rsidR="00000000" w:rsidRPr="00C1131E" w:rsidP="00C1131E">
      <w:pPr>
        <w:pStyle w:val="BodyText"/>
      </w:pPr>
    </w:p>
    <w:p w:rsidR="00000000" w:rsidRPr="00C1131E" w:rsidP="00C1131E">
      <w:pPr>
        <w:pStyle w:val="AllowPageBreak"/>
      </w:pPr>
    </w:p>
    <w:p w:rsidR="00000000" w:rsidRPr="00C1131E" w:rsidP="00C1131E">
      <w:pPr>
        <w:pStyle w:val="Heading1"/>
      </w:pPr>
      <w:bookmarkStart w:id="14" w:name="O_740596"/>
      <w:bookmarkEnd w:id="14"/>
      <w:r w:rsidRPr="00C1131E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03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1E" w:rsidP="00C1131E">
            <w:pPr>
              <w:pStyle w:val="BodyText"/>
            </w:pPr>
            <w:r w:rsidRPr="00C1131E">
              <w:t>As a minimum, assessors must sati</w:t>
            </w:r>
            <w:r w:rsidRPr="00C1131E">
              <w:t xml:space="preserve">sfy applicable regulatory requirements, which include requirements in the Standards for Registered Training Organisations, current at the time of assessment. </w:t>
            </w:r>
          </w:p>
          <w:p w:rsidR="00000000" w:rsidRPr="00C1131E" w:rsidP="00C1131E">
            <w:pPr>
              <w:pStyle w:val="BodyText"/>
            </w:pPr>
            <w:r w:rsidRPr="00C1131E">
              <w:t>As a minimum, assessment must satisfy applicable regulatory requirements, which include requirements in the Standards for Registered Training Organisations, current at the time of assessment.</w:t>
            </w:r>
          </w:p>
          <w:p w:rsidR="00000000" w:rsidRPr="00C1131E" w:rsidP="00C1131E">
            <w:pPr>
              <w:pStyle w:val="BodyText"/>
            </w:pPr>
            <w:r w:rsidRPr="00C1131E">
              <w:t xml:space="preserve">Assessment must occur in workplace operational situations where </w:t>
            </w:r>
            <w:r w:rsidRPr="00C1131E">
              <w:t xml:space="preserve">it is appropriate to do so; where this is not appropriate, assessment must occur in simulated workplace operational situations that replicate workplace conditions. </w:t>
            </w:r>
          </w:p>
          <w:p w:rsidR="00000000" w:rsidRPr="00C1131E" w:rsidP="00C1131E">
            <w:pPr>
              <w:pStyle w:val="BodyText"/>
            </w:pPr>
            <w:r w:rsidRPr="00C1131E">
              <w:t>Assessment processes and techniques must be appropriate to the language, literacy and numer</w:t>
            </w:r>
            <w:r w:rsidRPr="00C1131E">
              <w:t>acy requirements of the work being performed and the needs of the candidate.</w:t>
            </w:r>
          </w:p>
          <w:p w:rsidR="00000000" w:rsidRPr="00C1131E" w:rsidP="00C1131E">
            <w:pPr>
              <w:pStyle w:val="BodyText"/>
            </w:pPr>
            <w:r w:rsidRPr="00C1131E">
              <w:t>Resources for assessment include:</w:t>
            </w:r>
          </w:p>
          <w:p w:rsidR="00000000" w:rsidRPr="00C1131E" w:rsidP="00C1131E">
            <w:pPr>
              <w:pStyle w:val="ListBullet"/>
            </w:pPr>
            <w:r w:rsidRPr="00C1131E">
              <w:t>a range of relevant exercises, case studies and/or other simulations</w:t>
            </w:r>
          </w:p>
          <w:p w:rsidR="00000000" w:rsidRPr="00C1131E" w:rsidP="00C1131E">
            <w:pPr>
              <w:pStyle w:val="ListBullet"/>
            </w:pPr>
            <w:r w:rsidRPr="00C1131E">
              <w:t>relevant and appropriate materials, tools, equipment and personal protectiv</w:t>
            </w:r>
            <w:r w:rsidRPr="00C1131E">
              <w:t xml:space="preserve">e equipment currently used in industry </w:t>
            </w:r>
          </w:p>
          <w:p w:rsidR="00000000" w:rsidRPr="00C1131E" w:rsidP="00C1131E">
            <w:pPr>
              <w:pStyle w:val="ListBullet"/>
            </w:pPr>
            <w:r w:rsidRPr="00C1131E">
              <w:t>applicable documentation including workplace procedures, regulations, codes of practice and operation manuals.</w:t>
            </w:r>
          </w:p>
        </w:tc>
      </w:tr>
    </w:tbl>
    <w:p w:rsidR="00000000" w:rsidRPr="00C1131E" w:rsidP="00C1131E">
      <w:pPr>
        <w:pStyle w:val="BodyText"/>
      </w:pPr>
    </w:p>
    <w:p w:rsidR="00000000" w:rsidRPr="00C1131E" w:rsidP="00C1131E">
      <w:pPr>
        <w:pStyle w:val="AllowPageBreak"/>
      </w:pPr>
    </w:p>
    <w:p w:rsidR="00000000" w:rsidRPr="00C1131E" w:rsidP="00C1131E">
      <w:pPr>
        <w:pStyle w:val="Heading1"/>
      </w:pPr>
      <w:bookmarkStart w:id="15" w:name="O_740599"/>
      <w:bookmarkEnd w:id="15"/>
      <w:r w:rsidRPr="00C1131E">
        <w:t>Links</w:t>
      </w:r>
    </w:p>
    <w:p w:rsidR="00000000" w:rsidRPr="00C1131E" w:rsidP="003036F1">
      <w:pPr>
        <w:pStyle w:val="BodyText"/>
      </w:pPr>
      <w:r w:rsidRPr="00C113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42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1131E" w:rsidP="00C1131E"/>
    <w:sectPr w:rsidSect="00C113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 w:rsidRPr="003036F1" w:rsidP="00303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6F1" w:rsidP="00C11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36F1" w:rsidP="00C11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36F1" w:rsidP="00C113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 w:rsidP="00C11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36F1">
      <w:t>Approved</w:t>
    </w:r>
    <w:r w:rsidR="003036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36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36F1">
      <w:rPr>
        <w:noProof/>
      </w:rPr>
      <w:t>5</w:t>
    </w:r>
    <w:r>
      <w:rPr>
        <w:noProof/>
      </w:rPr>
      <w:fldChar w:fldCharType="end"/>
    </w:r>
  </w:p>
  <w:p w:rsidR="00C1131E" w:rsidP="00C11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36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36F1">
      <w:t>Industry Skills Australia</w:t>
    </w:r>
    <w:r w:rsidR="003036F1">
      <w:fldChar w:fldCharType="end"/>
    </w:r>
  </w:p>
  <w:p w:rsidR="00C1131E" w:rsidP="00C11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31E" w:rsidRPr="003036F1" w:rsidP="00303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6F1" w:rsidRPr="002D2AF8" w:rsidP="00C11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TLIF4064 Manage fatigue management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36F1" w:rsidP="00C113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1E" w:rsidRPr="002D2AF8" w:rsidP="00C11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36F1">
      <w:t>TLIF4064 Manage fatigue management policy and procedures</w:t>
    </w:r>
    <w:r w:rsidR="003036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36F1">
      <w:rPr>
        <w:noProof/>
      </w:rPr>
      <w:t>2 March 2025</w:t>
    </w:r>
    <w:r>
      <w:fldChar w:fldCharType="end"/>
    </w:r>
  </w:p>
  <w:p w:rsidR="00C1131E" w:rsidP="00C11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C7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B84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31E"/>
  </w:style>
  <w:style w:type="character" w:customStyle="1" w:styleId="Heading1Char">
    <w:name w:val="Heading 1 Char"/>
    <w:basedOn w:val="DefaultParagraphFont"/>
    <w:link w:val="Heading1"/>
    <w:rsid w:val="00C11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3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31E"/>
    <w:rPr>
      <w:b/>
      <w:spacing w:val="0"/>
    </w:rPr>
  </w:style>
  <w:style w:type="paragraph" w:customStyle="1" w:styleId="SuperHeading">
    <w:name w:val="SuperHeading"/>
    <w:basedOn w:val="Normal"/>
    <w:rsid w:val="00C11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3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31E"/>
    <w:rPr>
      <w:i/>
    </w:rPr>
  </w:style>
  <w:style w:type="paragraph" w:styleId="Caption">
    <w:name w:val="caption"/>
    <w:basedOn w:val="BodyText"/>
    <w:next w:val="Normal"/>
    <w:qFormat/>
    <w:rsid w:val="00C11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31E"/>
  </w:style>
  <w:style w:type="paragraph" w:styleId="TableofFigures">
    <w:name w:val="table of figures"/>
    <w:basedOn w:val="Normal"/>
    <w:next w:val="Normal"/>
    <w:semiHidden/>
    <w:rsid w:val="00C11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3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31E"/>
    <w:rPr>
      <w:rFonts w:ascii="Wingdings" w:hAnsi="Wingdings"/>
    </w:rPr>
  </w:style>
  <w:style w:type="paragraph" w:customStyle="1" w:styleId="TableHeading">
    <w:name w:val="Table Heading"/>
    <w:basedOn w:val="HeadingBase"/>
    <w:rsid w:val="00C11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31E"/>
    <w:rPr>
      <w:color w:val="0033CC"/>
      <w:u w:val="none"/>
    </w:rPr>
  </w:style>
  <w:style w:type="paragraph" w:customStyle="1" w:styleId="BodyTextRight">
    <w:name w:val="Body Text Right"/>
    <w:basedOn w:val="BodyText"/>
    <w:rsid w:val="00C11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3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31E"/>
    <w:rPr>
      <w:sz w:val="32"/>
    </w:rPr>
  </w:style>
  <w:style w:type="paragraph" w:customStyle="1" w:styleId="HeadingProcedure">
    <w:name w:val="Heading Procedure"/>
    <w:basedOn w:val="HeadingBase"/>
    <w:next w:val="Normal"/>
    <w:rsid w:val="00C11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31E"/>
    <w:pPr>
      <w:spacing w:before="60" w:after="60"/>
    </w:pPr>
  </w:style>
  <w:style w:type="paragraph" w:styleId="ListContinue">
    <w:name w:val="List Continue"/>
    <w:basedOn w:val="List"/>
    <w:rsid w:val="00C1131E"/>
    <w:pPr>
      <w:ind w:firstLine="0"/>
    </w:pPr>
  </w:style>
  <w:style w:type="paragraph" w:customStyle="1" w:styleId="ListNote">
    <w:name w:val="List Note"/>
    <w:basedOn w:val="List"/>
    <w:rsid w:val="00C11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31E"/>
    <w:rPr>
      <w:rFonts w:ascii="Courier New" w:hAnsi="Courier New"/>
    </w:rPr>
  </w:style>
  <w:style w:type="paragraph" w:customStyle="1" w:styleId="NoteBullet">
    <w:name w:val="Note Bullet"/>
    <w:basedOn w:val="Note"/>
    <w:rsid w:val="00C11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3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31E"/>
    <w:rPr>
      <w:b/>
      <w:smallCaps/>
    </w:rPr>
  </w:style>
  <w:style w:type="paragraph" w:customStyle="1" w:styleId="TableListNumber">
    <w:name w:val="Table List Number"/>
    <w:basedOn w:val="ListNumber"/>
    <w:rsid w:val="00C11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31E"/>
    <w:pPr>
      <w:numPr>
        <w:numId w:val="8"/>
      </w:numPr>
    </w:pPr>
  </w:style>
  <w:style w:type="paragraph" w:customStyle="1" w:styleId="ListAlpha2">
    <w:name w:val="List Alpha 2"/>
    <w:basedOn w:val="List2"/>
    <w:rsid w:val="00C1131E"/>
    <w:pPr>
      <w:numPr>
        <w:numId w:val="7"/>
      </w:numPr>
    </w:pPr>
  </w:style>
  <w:style w:type="paragraph" w:styleId="List2">
    <w:name w:val="List 2"/>
    <w:basedOn w:val="BodyText"/>
    <w:rsid w:val="00C11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3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3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31E"/>
    <w:pPr>
      <w:numPr>
        <w:numId w:val="3"/>
      </w:numPr>
    </w:pPr>
  </w:style>
  <w:style w:type="paragraph" w:styleId="ListContinue2">
    <w:name w:val="List Continue 2"/>
    <w:basedOn w:val="List2"/>
    <w:rsid w:val="00C1131E"/>
    <w:pPr>
      <w:ind w:firstLine="0"/>
    </w:pPr>
  </w:style>
  <w:style w:type="paragraph" w:styleId="ListContinue3">
    <w:name w:val="List Continue 3"/>
    <w:basedOn w:val="List3"/>
    <w:rsid w:val="00C1131E"/>
    <w:pPr>
      <w:ind w:left="1021" w:firstLine="0"/>
    </w:pPr>
  </w:style>
  <w:style w:type="paragraph" w:styleId="ListContinue4">
    <w:name w:val="List Continue 4"/>
    <w:basedOn w:val="List4"/>
    <w:rsid w:val="00C1131E"/>
    <w:pPr>
      <w:ind w:firstLine="0"/>
    </w:pPr>
  </w:style>
  <w:style w:type="paragraph" w:styleId="ListContinue5">
    <w:name w:val="List Continue 5"/>
    <w:basedOn w:val="List5"/>
    <w:rsid w:val="00C1131E"/>
    <w:pPr>
      <w:ind w:firstLine="0"/>
    </w:pPr>
  </w:style>
  <w:style w:type="paragraph" w:styleId="ListNumber3">
    <w:name w:val="List Number 3"/>
    <w:basedOn w:val="List3"/>
    <w:rsid w:val="00C1131E"/>
    <w:pPr>
      <w:numPr>
        <w:numId w:val="4"/>
      </w:numPr>
    </w:pPr>
  </w:style>
  <w:style w:type="paragraph" w:styleId="ListNumber4">
    <w:name w:val="List Number 4"/>
    <w:basedOn w:val="List4"/>
    <w:rsid w:val="00C1131E"/>
    <w:pPr>
      <w:numPr>
        <w:numId w:val="5"/>
      </w:numPr>
    </w:pPr>
  </w:style>
  <w:style w:type="paragraph" w:styleId="ListNumber5">
    <w:name w:val="List Number 5"/>
    <w:basedOn w:val="List5"/>
    <w:rsid w:val="00C1131E"/>
    <w:pPr>
      <w:numPr>
        <w:numId w:val="6"/>
      </w:numPr>
    </w:pPr>
  </w:style>
  <w:style w:type="paragraph" w:styleId="BlockText">
    <w:name w:val="Block Text"/>
    <w:basedOn w:val="Normal"/>
    <w:rsid w:val="00C11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31E"/>
    <w:rPr>
      <w:sz w:val="16"/>
      <w:vertAlign w:val="superscript"/>
    </w:rPr>
  </w:style>
  <w:style w:type="character" w:customStyle="1" w:styleId="Symbols">
    <w:name w:val="Symbols"/>
    <w:basedOn w:val="DefaultParagraphFont"/>
    <w:rsid w:val="00C1131E"/>
    <w:rPr>
      <w:rFonts w:ascii="Symbol" w:hAnsi="Symbol"/>
    </w:rPr>
  </w:style>
  <w:style w:type="character" w:customStyle="1" w:styleId="MenuOptions">
    <w:name w:val="Menu Options"/>
    <w:basedOn w:val="DefaultParagraphFont"/>
    <w:rsid w:val="00C11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31E"/>
    <w:rPr>
      <w:b/>
    </w:rPr>
  </w:style>
  <w:style w:type="character" w:customStyle="1" w:styleId="Underlined">
    <w:name w:val="Underlined"/>
    <w:basedOn w:val="DefaultParagraphFont"/>
    <w:rsid w:val="00C1131E"/>
    <w:rPr>
      <w:u w:val="single"/>
    </w:rPr>
  </w:style>
  <w:style w:type="paragraph" w:customStyle="1" w:styleId="TableBodyTextRight">
    <w:name w:val="Table Body Text Right"/>
    <w:basedOn w:val="TableBodyText"/>
    <w:rsid w:val="00C11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31E"/>
    <w:rPr>
      <w:sz w:val="18"/>
    </w:rPr>
  </w:style>
  <w:style w:type="paragraph" w:customStyle="1" w:styleId="BodySmallRight">
    <w:name w:val="Body Small Right"/>
    <w:basedOn w:val="BodyTextRight"/>
    <w:rsid w:val="00C1131E"/>
    <w:rPr>
      <w:sz w:val="18"/>
      <w:szCs w:val="18"/>
    </w:rPr>
  </w:style>
  <w:style w:type="paragraph" w:customStyle="1" w:styleId="MarginEdition">
    <w:name w:val="Margin Edition"/>
    <w:basedOn w:val="MarginNote"/>
    <w:rsid w:val="00C11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31E"/>
    <w:rPr>
      <w:sz w:val="2"/>
      <w:szCs w:val="2"/>
    </w:rPr>
  </w:style>
  <w:style w:type="character" w:customStyle="1" w:styleId="Small">
    <w:name w:val="Small"/>
    <w:basedOn w:val="DefaultParagraphFont"/>
    <w:rsid w:val="00C1131E"/>
    <w:rPr>
      <w:sz w:val="16"/>
    </w:rPr>
  </w:style>
  <w:style w:type="paragraph" w:customStyle="1" w:styleId="WideTable">
    <w:name w:val="Wide Table"/>
    <w:basedOn w:val="Normal"/>
    <w:rsid w:val="00C11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31E"/>
  </w:style>
  <w:style w:type="paragraph" w:styleId="Quote">
    <w:name w:val="Quote"/>
    <w:basedOn w:val="Heading1"/>
    <w:link w:val="QuoteChar"/>
    <w:qFormat/>
    <w:rsid w:val="00C11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31E"/>
    <w:pPr>
      <w:pageBreakBefore/>
    </w:pPr>
  </w:style>
  <w:style w:type="paragraph" w:customStyle="1" w:styleId="Border">
    <w:name w:val="Border"/>
    <w:basedOn w:val="Normal"/>
    <w:qFormat/>
    <w:rsid w:val="00C11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31E"/>
    <w:rPr>
      <w:u w:val="single"/>
    </w:rPr>
  </w:style>
  <w:style w:type="character" w:customStyle="1" w:styleId="BoldandItalics">
    <w:name w:val="Bold and Italics"/>
    <w:qFormat/>
    <w:rsid w:val="00C1131E"/>
    <w:rPr>
      <w:b/>
      <w:i/>
      <w:u w:val="none"/>
    </w:rPr>
  </w:style>
  <w:style w:type="paragraph" w:styleId="BalloonText">
    <w:name w:val="Balloon Text"/>
    <w:basedOn w:val="Normal"/>
    <w:link w:val="BalloonTextChar"/>
    <w:rsid w:val="00C1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31E"/>
    <w:pPr>
      <w:spacing w:before="0" w:after="0"/>
    </w:pPr>
  </w:style>
  <w:style w:type="paragraph" w:customStyle="1" w:styleId="BodyTextBold">
    <w:name w:val="Body Text Bold"/>
    <w:basedOn w:val="BodyText"/>
    <w:qFormat/>
    <w:rsid w:val="00C1131E"/>
    <w:rPr>
      <w:b/>
    </w:rPr>
  </w:style>
  <w:style w:type="character" w:styleId="Hyperlink">
    <w:name w:val="Hyperlink"/>
    <w:basedOn w:val="DefaultParagraphFont"/>
    <w:uiPriority w:val="99"/>
    <w:unhideWhenUsed/>
    <w:rsid w:val="00303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1737</Words>
  <Characters>11362</Characters>
  <Application>Microsoft Office Word</Application>
  <DocSecurity>0</DocSecurity>
  <Lines>315</Lines>
  <Paragraphs>170</Paragraphs>
  <ScaleCrop>false</ScaleCrop>
  <Company>Author-it Software Corporation Ltd.</Company>
  <LinksUpToDate>false</LinksUpToDate>
  <CharactersWithSpaces>12929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TLIF4064 Manage fatigue management policy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