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E5A" w:rsidP="00767E5A">
      <w:pPr>
        <w:pStyle w:val="Title"/>
      </w:pPr>
      <w:r>
        <w:fldChar w:fldCharType="begin"/>
      </w:r>
      <w:r>
        <w:instrText xml:space="preserve"> TITLE   \* MERGEFORMAT </w:instrText>
      </w:r>
      <w:r>
        <w:fldChar w:fldCharType="separate"/>
      </w:r>
      <w:r>
        <w:t>Assessment Requirements for TLIF4064 Manage fatigue management policy and procedures</w:t>
      </w:r>
      <w:r>
        <w:fldChar w:fldCharType="end"/>
      </w:r>
    </w:p>
    <w:p w:rsidR="00767E5A" w:rsidP="00767E5A">
      <w:pPr>
        <w:pStyle w:val="Version"/>
        <w:sectPr w:rsidSect="00C015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5A4" w:rsidP="00C015A4">
      <w:pPr>
        <w:pStyle w:val="SuperHeading"/>
      </w:pPr>
      <w:r w:rsidRPr="00C015A4">
        <w:t>Assessment Requirements for TLIF4064 Manage fatigue man</w:t>
      </w:r>
      <w:r w:rsidRPr="00C015A4">
        <w:t>agement policy and procedures</w:t>
      </w:r>
    </w:p>
    <w:p w:rsidR="00000000" w:rsidRPr="00C015A4" w:rsidP="00C015A4">
      <w:pPr>
        <w:pStyle w:val="Heading1"/>
      </w:pPr>
      <w:bookmarkStart w:id="1" w:name="O_740593"/>
      <w:bookmarkEnd w:id="1"/>
      <w:r w:rsidRPr="00C015A4">
        <w:t>Modification History</w:t>
      </w:r>
    </w:p>
    <w:p w:rsidR="00767E5A" w:rsidP="00767E5A">
      <w:pPr>
        <w:pStyle w:val="BodyText"/>
      </w:pPr>
      <w:r w:rsidRPr="00C015A4">
        <w:t>Release 1. This is the first release of this unit of competency in the TLI Transport and Logistics Training Package.</w:t>
      </w:r>
    </w:p>
    <w:p w:rsidR="00000000" w:rsidRPr="00C015A4" w:rsidP="00C015A4">
      <w:pPr>
        <w:pStyle w:val="Heading1"/>
      </w:pPr>
      <w:bookmarkStart w:id="2" w:name="O_740594"/>
      <w:bookmarkEnd w:id="2"/>
      <w:r w:rsidRPr="00C015A4">
        <w:t>Performance Evidence</w:t>
      </w:r>
    </w:p>
    <w:tbl>
      <w:tblPr>
        <w:tblW w:w="0" w:type="auto"/>
        <w:tblCellMar>
          <w:left w:w="62" w:type="dxa"/>
          <w:right w:w="62" w:type="dxa"/>
        </w:tblCellMar>
        <w:tblLook w:val="0000"/>
      </w:tblPr>
      <w:tblGrid>
        <w:gridCol w:w="9196"/>
      </w:tblGrid>
      <w:tr w:rsidTr="00767E5A">
        <w:tblPrEx>
          <w:tblW w:w="0" w:type="auto"/>
          <w:tblCellMar>
            <w:left w:w="62" w:type="dxa"/>
            <w:right w:w="62" w:type="dxa"/>
          </w:tblCellMar>
          <w:tblLook w:val="0000"/>
        </w:tblPrEx>
        <w:trPr>
          <w:trHeight w:val="862"/>
        </w:trPr>
        <w:tc>
          <w:tcPr>
            <w:tcW w:w="0" w:type="auto"/>
            <w:tcBorders>
              <w:top w:val="nil"/>
              <w:left w:val="nil"/>
              <w:bottom w:val="nil"/>
              <w:right w:val="nil"/>
            </w:tcBorders>
            <w:tcMar>
              <w:top w:w="0" w:type="dxa"/>
              <w:left w:w="62" w:type="dxa"/>
              <w:bottom w:w="0" w:type="dxa"/>
              <w:right w:w="62" w:type="dxa"/>
            </w:tcMar>
          </w:tcPr>
          <w:p w:rsidR="00000000" w:rsidP="00C015A4">
            <w:pPr>
              <w:pStyle w:val="BodyText"/>
              <w:rPr>
                <w:lang w:val="en-NZ"/>
              </w:rPr>
            </w:pPr>
            <w:r w:rsidRPr="00C015A4">
              <w:t>Evidence required to demonstrate competence in this unit must be relevant to and satisfy all of the requirements of the elements and performance criteria on at least one occasion and include:</w:t>
            </w:r>
          </w:p>
        </w:tc>
      </w:tr>
      <w:tr w:rsidTr="00767E5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015A4" w:rsidP="00C015A4">
            <w:pPr>
              <w:pStyle w:val="ListBullet"/>
            </w:pPr>
            <w:r w:rsidRPr="00C015A4">
              <w:t>adapting to changes in legislation and regulations as they rel</w:t>
            </w:r>
            <w:r w:rsidRPr="00C015A4">
              <w:t>ate to fatigue management</w:t>
            </w:r>
          </w:p>
          <w:p w:rsidR="00000000" w:rsidRPr="00C015A4" w:rsidP="00C015A4">
            <w:pPr>
              <w:pStyle w:val="ListBullet"/>
            </w:pPr>
            <w:r w:rsidRPr="00C015A4">
              <w:t>applying relevant legislation and workplace procedures</w:t>
            </w:r>
          </w:p>
          <w:p w:rsidR="00000000" w:rsidRPr="00C015A4" w:rsidP="00C015A4">
            <w:pPr>
              <w:pStyle w:val="ListBullet"/>
            </w:pPr>
            <w:r w:rsidRPr="00C015A4">
              <w:t>communicating and working effectively with others when implementing the organisational fatigue risk management system</w:t>
            </w:r>
          </w:p>
          <w:p w:rsidR="00000000" w:rsidRPr="00C015A4" w:rsidP="00C015A4">
            <w:pPr>
              <w:pStyle w:val="ListBullet"/>
            </w:pPr>
            <w:r w:rsidRPr="00C015A4">
              <w:t>facilitating systems that assist employees to identify th</w:t>
            </w:r>
            <w:r w:rsidRPr="00C015A4">
              <w:t>eir own learning needs about fatigue management</w:t>
            </w:r>
          </w:p>
          <w:p w:rsidR="00000000" w:rsidRPr="00C015A4" w:rsidP="00C015A4">
            <w:pPr>
              <w:pStyle w:val="ListBullet"/>
            </w:pPr>
            <w:r w:rsidRPr="00C015A4">
              <w:t>modifying activities and taking appropriate initiative to manage the implementation of an organisational fatigue risk management system depending on differing contexts, risk situations and environments</w:t>
            </w:r>
          </w:p>
          <w:p w:rsidR="00000000" w:rsidRPr="00C015A4" w:rsidP="00C015A4">
            <w:pPr>
              <w:pStyle w:val="ListBullet"/>
            </w:pPr>
            <w:r w:rsidRPr="00C015A4">
              <w:t>organi</w:t>
            </w:r>
            <w:r w:rsidRPr="00C015A4">
              <w:t>sing audits and reviews of an organisation’s fatigue risk management system</w:t>
            </w:r>
          </w:p>
          <w:p w:rsidR="00000000" w:rsidRPr="00C015A4" w:rsidP="00C015A4">
            <w:pPr>
              <w:pStyle w:val="ListBullet"/>
            </w:pPr>
            <w:r w:rsidRPr="00C015A4">
              <w:t>planning and organising budgetary requirements and resource allocation for implementing an organisational fatigue risk management system</w:t>
            </w:r>
          </w:p>
          <w:p w:rsidR="00000000" w:rsidRPr="00C015A4" w:rsidP="00C015A4">
            <w:pPr>
              <w:pStyle w:val="ListBullet"/>
            </w:pPr>
            <w:r w:rsidRPr="00C015A4">
              <w:t xml:space="preserve">reading </w:t>
            </w:r>
            <w:r w:rsidRPr="00C015A4">
              <w:t>and interpreting documentation on fatigue management legislation and the organisational fatigue risk management system and applying them to management activities</w:t>
            </w:r>
          </w:p>
          <w:p w:rsidR="00000000" w:rsidRPr="00C015A4" w:rsidP="00C015A4">
            <w:pPr>
              <w:pStyle w:val="ListBullet"/>
            </w:pPr>
            <w:r w:rsidRPr="00C015A4">
              <w:t>recognising breaches of fatigue management strategies and regulations and taking appropriate a</w:t>
            </w:r>
            <w:r w:rsidRPr="00C015A4">
              <w:t>ction in accordance with the organisational fatigue risk management system.</w:t>
            </w:r>
          </w:p>
        </w:tc>
      </w:tr>
    </w:tbl>
    <w:p w:rsidR="00000000" w:rsidRPr="00C015A4" w:rsidP="00C015A4">
      <w:pPr>
        <w:pStyle w:val="BodyText"/>
      </w:pPr>
    </w:p>
    <w:p w:rsidR="00000000" w:rsidRPr="00C015A4" w:rsidP="00C015A4">
      <w:pPr>
        <w:pStyle w:val="AllowPageBreak"/>
      </w:pPr>
    </w:p>
    <w:p w:rsidR="00000000" w:rsidRPr="00C015A4" w:rsidP="00C015A4">
      <w:pPr>
        <w:pStyle w:val="Heading1"/>
      </w:pPr>
      <w:bookmarkStart w:id="3" w:name="O_740595"/>
      <w:bookmarkEnd w:id="3"/>
      <w:r w:rsidRPr="00C015A4">
        <w:t>Knowledge Evidence</w:t>
      </w:r>
    </w:p>
    <w:tbl>
      <w:tblPr>
        <w:tblW w:w="0" w:type="auto"/>
        <w:tblCellMar>
          <w:left w:w="62" w:type="dxa"/>
          <w:right w:w="62" w:type="dxa"/>
        </w:tblCellMar>
        <w:tblLook w:val="0000"/>
      </w:tblPr>
      <w:tblGrid>
        <w:gridCol w:w="9196"/>
      </w:tblGrid>
      <w:tr w:rsidTr="00767E5A">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C015A4">
            <w:pPr>
              <w:pStyle w:val="BodyText"/>
              <w:rPr>
                <w:lang w:val="en-NZ"/>
              </w:rPr>
            </w:pPr>
            <w:r w:rsidRPr="00C015A4">
              <w:t>Evidence required to demonstrate competence in this unit must be relevant to and satisfy all of the requirements of the elements and performan</w:t>
            </w:r>
            <w:r w:rsidRPr="00C015A4">
              <w:t>ce criteria and include knowledge of:</w:t>
            </w:r>
          </w:p>
        </w:tc>
      </w:tr>
      <w:tr w:rsidTr="00767E5A">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C015A4" w:rsidP="00C015A4">
            <w:pPr>
              <w:pStyle w:val="ListBullet"/>
            </w:pPr>
            <w:r w:rsidRPr="00C015A4">
              <w:t>budgetary and resource requirements for implementing an organisational fatigue risk management system</w:t>
            </w:r>
          </w:p>
          <w:p w:rsidR="00000000" w:rsidRPr="00C015A4" w:rsidP="00C015A4">
            <w:pPr>
              <w:pStyle w:val="ListBullet"/>
            </w:pPr>
            <w:r w:rsidRPr="00C015A4">
              <w:t>causes and effects of fatigue on employees</w:t>
            </w:r>
          </w:p>
          <w:p w:rsidR="00000000" w:rsidRPr="00C015A4" w:rsidP="00C015A4">
            <w:pPr>
              <w:pStyle w:val="ListBullet"/>
            </w:pPr>
            <w:r w:rsidRPr="00C015A4">
              <w:t>components of a fatigue risk management system, and policies and procedures related to fatigue management, and the control of factors that can contribute to fatigue and fatigue-related accidents</w:t>
            </w:r>
          </w:p>
          <w:p w:rsidR="00000000" w:rsidRPr="00C015A4" w:rsidP="00C015A4">
            <w:pPr>
              <w:pStyle w:val="ListBullet"/>
            </w:pPr>
            <w:r w:rsidRPr="00C015A4">
              <w:t>factors that increase fatigue-related errors and accidents</w:t>
            </w:r>
          </w:p>
          <w:p w:rsidR="00000000" w:rsidRPr="00C015A4" w:rsidP="00C015A4">
            <w:pPr>
              <w:pStyle w:val="ListBullet"/>
            </w:pPr>
            <w:r w:rsidRPr="00C015A4">
              <w:t>fa</w:t>
            </w:r>
            <w:r w:rsidRPr="00C015A4">
              <w:t>tigue reduction and proofing strategies available to an organisation that can minimise the risk of errors and safety incidents due to fatigue such as assigning low risk tasks to periods when fatigue risk is higher</w:t>
            </w:r>
          </w:p>
          <w:p w:rsidR="00000000" w:rsidRPr="00C015A4" w:rsidP="00C015A4">
            <w:pPr>
              <w:pStyle w:val="ListBullet"/>
            </w:pPr>
            <w:r w:rsidRPr="00C015A4">
              <w:t>how fatigue affects workplace performance</w:t>
            </w:r>
          </w:p>
          <w:p w:rsidR="00000000" w:rsidRPr="00C015A4" w:rsidP="00C015A4">
            <w:pPr>
              <w:pStyle w:val="ListBullet"/>
            </w:pPr>
            <w:r w:rsidRPr="00C015A4">
              <w:t>how fatigue contributes to workplace accidents</w:t>
            </w:r>
          </w:p>
          <w:p w:rsidR="00000000" w:rsidRPr="00C015A4" w:rsidP="00C015A4">
            <w:pPr>
              <w:pStyle w:val="ListBullet"/>
            </w:pPr>
            <w:r w:rsidRPr="00C015A4">
              <w:t>lifestyles that promote the effective long-term management of fatigue</w:t>
            </w:r>
          </w:p>
          <w:p w:rsidR="00000000" w:rsidRPr="00C015A4" w:rsidP="00C015A4">
            <w:pPr>
              <w:pStyle w:val="ListBullet"/>
            </w:pPr>
            <w:r w:rsidRPr="00C015A4">
              <w:t>options and resources for providing training and learning opportunities for employees about fatigue management and implementing an organisa</w:t>
            </w:r>
            <w:r w:rsidRPr="00C015A4">
              <w:t>tional fatigue risk management system, including initial induction training, in-depth training on fatigue and fatigue management techniques, remedial training where existing competence is assessed as being insufficient, and refresher training on fatigue ma</w:t>
            </w:r>
            <w:r w:rsidRPr="00C015A4">
              <w:t>nagement</w:t>
            </w:r>
          </w:p>
          <w:p w:rsidR="00000000" w:rsidRPr="00C015A4" w:rsidP="00C015A4">
            <w:pPr>
              <w:pStyle w:val="ListBullet"/>
            </w:pPr>
            <w:r w:rsidRPr="00C015A4">
              <w:t xml:space="preserve">procedures for auditing and reviewing an organisational fatigue risk management system and related policies and procedures, and for reporting audit outcomes </w:t>
            </w:r>
          </w:p>
          <w:p w:rsidR="00000000" w:rsidRPr="00C015A4" w:rsidP="00C015A4">
            <w:pPr>
              <w:pStyle w:val="ListBullet"/>
            </w:pPr>
            <w:r w:rsidRPr="00C015A4">
              <w:t xml:space="preserve">processes and resources for assessing employee fatigue management competence </w:t>
            </w:r>
          </w:p>
          <w:p w:rsidR="00000000" w:rsidRPr="00C015A4" w:rsidP="00C015A4">
            <w:pPr>
              <w:pStyle w:val="ListBullet"/>
            </w:pPr>
            <w:r w:rsidRPr="00C015A4">
              <w:t>relevant le</w:t>
            </w:r>
            <w:r w:rsidRPr="00C015A4">
              <w:t>gislation, regulations, permit and licence requirements related to fatigue management</w:t>
            </w:r>
          </w:p>
          <w:p w:rsidR="00000000" w:rsidRPr="00C015A4" w:rsidP="00C015A4">
            <w:pPr>
              <w:pStyle w:val="ListBullet"/>
            </w:pPr>
            <w:r w:rsidRPr="00C015A4">
              <w:t>relevant work health and safety (WHS)/occupational health and safety (OHS) regulations as they relate to fatigue</w:t>
            </w:r>
          </w:p>
          <w:p w:rsidR="00000000" w:rsidRPr="00C015A4" w:rsidP="00C015A4">
            <w:pPr>
              <w:pStyle w:val="ListBullet"/>
            </w:pPr>
            <w:r w:rsidRPr="00C015A4">
              <w:t>responsibilities of an organisation and individual employ</w:t>
            </w:r>
            <w:r w:rsidRPr="00C015A4">
              <w:t>ees for implementing fatigue management regulations and policies, including requirements agreed with suppliers and sub-contractors in the supply chain about organisational services and products</w:t>
            </w:r>
          </w:p>
          <w:p w:rsidR="00000000" w:rsidRPr="00C015A4" w:rsidP="00C015A4">
            <w:pPr>
              <w:pStyle w:val="ListBullet"/>
            </w:pPr>
            <w:r w:rsidRPr="00C015A4">
              <w:t xml:space="preserve">risks and hazards created by workplace fatigue </w:t>
            </w:r>
          </w:p>
          <w:p w:rsidR="00000000" w:rsidRPr="00C015A4" w:rsidP="00C015A4">
            <w:pPr>
              <w:pStyle w:val="ListBullet"/>
            </w:pPr>
            <w:r w:rsidRPr="00C015A4">
              <w:t>sources of inf</w:t>
            </w:r>
            <w:r w:rsidRPr="00C015A4">
              <w:t>ormation on fatigue</w:t>
            </w:r>
          </w:p>
          <w:p w:rsidR="00000000" w:rsidRPr="00C015A4" w:rsidP="00C015A4">
            <w:pPr>
              <w:pStyle w:val="ListBullet"/>
            </w:pPr>
            <w:r w:rsidRPr="00C015A4">
              <w:t>strategies and ways to manage fatigue</w:t>
            </w:r>
          </w:p>
          <w:p w:rsidR="00000000" w:rsidRPr="00C015A4" w:rsidP="00C015A4">
            <w:pPr>
              <w:pStyle w:val="ListBullet"/>
            </w:pPr>
            <w:r w:rsidRPr="00C015A4">
              <w:t>strategies for ensuring that the investigation and analysis of errors, safety incidents and accidents identify the extent to which fatigue is a contributing factor</w:t>
            </w:r>
          </w:p>
          <w:p w:rsidR="00000000" w:rsidRPr="00C015A4" w:rsidP="00C015A4">
            <w:pPr>
              <w:pStyle w:val="ListBullet"/>
            </w:pPr>
            <w:r w:rsidRPr="00C015A4">
              <w:t>systems for auditing the effective</w:t>
            </w:r>
            <w:r w:rsidRPr="00C015A4">
              <w:t>ness and efficacy of organisational fatigue risk management strategies, policies and procedures</w:t>
            </w:r>
          </w:p>
          <w:p w:rsidR="00000000" w:rsidRPr="00C015A4" w:rsidP="00C015A4">
            <w:pPr>
              <w:pStyle w:val="ListBullet"/>
            </w:pPr>
            <w:r w:rsidRPr="00C015A4">
              <w:t>ways of recognising fatigue.</w:t>
            </w:r>
          </w:p>
        </w:tc>
      </w:tr>
    </w:tbl>
    <w:p w:rsidR="00000000" w:rsidRPr="00C015A4" w:rsidP="00C015A4">
      <w:pPr>
        <w:pStyle w:val="BodyText"/>
      </w:pPr>
    </w:p>
    <w:p w:rsidR="00000000" w:rsidRPr="00C015A4" w:rsidP="00C015A4">
      <w:pPr>
        <w:pStyle w:val="AllowPageBreak"/>
      </w:pPr>
    </w:p>
    <w:p w:rsidR="00000000" w:rsidRPr="00C015A4" w:rsidP="00C015A4">
      <w:pPr>
        <w:pStyle w:val="Heading1"/>
      </w:pPr>
      <w:bookmarkStart w:id="4" w:name="O_740596"/>
      <w:bookmarkEnd w:id="4"/>
      <w:r w:rsidRPr="00C015A4">
        <w:t>Assessment Conditions</w:t>
      </w:r>
    </w:p>
    <w:tbl>
      <w:tblPr>
        <w:tblW w:w="0" w:type="auto"/>
        <w:tblCellMar>
          <w:left w:w="62" w:type="dxa"/>
          <w:right w:w="62" w:type="dxa"/>
        </w:tblCellMar>
        <w:tblLook w:val="0000"/>
      </w:tblPr>
      <w:tblGrid>
        <w:gridCol w:w="9196"/>
      </w:tblGrid>
      <w:tr w:rsidTr="00767E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5A4" w:rsidP="00C015A4">
            <w:pPr>
              <w:pStyle w:val="BodyText"/>
            </w:pPr>
            <w:r w:rsidRPr="00C015A4">
              <w:t xml:space="preserve">As a minimum, assessors must satisfy applicable regulatory requirements, which include requirements in the Standards for Registered Training Organisations, current at the time of assessment. </w:t>
            </w:r>
          </w:p>
          <w:p w:rsidR="00000000" w:rsidRPr="00C015A4" w:rsidP="00C015A4">
            <w:pPr>
              <w:pStyle w:val="BodyText"/>
            </w:pPr>
            <w:r w:rsidRPr="00C015A4">
              <w:t>As a minimum, assessment must satisfy applicable regulatory requ</w:t>
            </w:r>
            <w:r w:rsidRPr="00C015A4">
              <w:t>irements, which include requirements in the Standards for Registered Training Organisations, current at the time of assessment.</w:t>
            </w:r>
          </w:p>
          <w:p w:rsidR="00000000" w:rsidRPr="00C015A4" w:rsidP="00C015A4">
            <w:pPr>
              <w:pStyle w:val="BodyText"/>
            </w:pPr>
            <w:r w:rsidRPr="00C015A4">
              <w:t>Assessment must occur in workplace operational situations where it is appropriate to do so; where this is not appropriate, asses</w:t>
            </w:r>
            <w:r w:rsidRPr="00C015A4">
              <w:t xml:space="preserve">sment must occur in simulated workplace operational situations that replicate workplace conditions. </w:t>
            </w:r>
          </w:p>
          <w:p w:rsidR="00000000" w:rsidRPr="00C015A4" w:rsidP="00C015A4">
            <w:pPr>
              <w:pStyle w:val="BodyText"/>
            </w:pPr>
            <w:r w:rsidRPr="00C015A4">
              <w:t>Assessment processes and techniques must be appropriate to the language, literacy and numeracy requirements of the work being performed and the needs of th</w:t>
            </w:r>
            <w:r w:rsidRPr="00C015A4">
              <w:t>e candidate.</w:t>
            </w:r>
          </w:p>
          <w:p w:rsidR="00000000" w:rsidRPr="00C015A4" w:rsidP="00C015A4">
            <w:pPr>
              <w:pStyle w:val="BodyText"/>
            </w:pPr>
            <w:r w:rsidRPr="00C015A4">
              <w:t>Resources for assessment include:</w:t>
            </w:r>
          </w:p>
          <w:p w:rsidR="00000000" w:rsidRPr="00C015A4" w:rsidP="00C015A4">
            <w:pPr>
              <w:pStyle w:val="ListBullet"/>
            </w:pPr>
            <w:r w:rsidRPr="00C015A4">
              <w:t>a range of relevant exercises, case studies and/or other simulations</w:t>
            </w:r>
          </w:p>
          <w:p w:rsidR="00000000" w:rsidRPr="00C015A4" w:rsidP="00C015A4">
            <w:pPr>
              <w:pStyle w:val="ListBullet"/>
            </w:pPr>
            <w:r w:rsidRPr="00C015A4">
              <w:t xml:space="preserve">relevant and appropriate materials, tools, equipment and personal protective equipment currently used in industry </w:t>
            </w:r>
          </w:p>
          <w:p w:rsidR="00000000" w:rsidRPr="00C015A4" w:rsidP="00C015A4">
            <w:pPr>
              <w:pStyle w:val="ListBullet"/>
            </w:pPr>
            <w:r w:rsidRPr="00C015A4">
              <w:t>applicable documentation</w:t>
            </w:r>
            <w:r w:rsidRPr="00C015A4">
              <w:t xml:space="preserve"> including workplace procedures, regulations, codes of practice and operation manuals.</w:t>
            </w:r>
          </w:p>
        </w:tc>
      </w:tr>
    </w:tbl>
    <w:p w:rsidR="00000000" w:rsidRPr="00C015A4" w:rsidP="00C015A4">
      <w:pPr>
        <w:pStyle w:val="BodyText"/>
      </w:pPr>
    </w:p>
    <w:p w:rsidR="00000000" w:rsidRPr="00C015A4" w:rsidP="00C015A4">
      <w:pPr>
        <w:pStyle w:val="AllowPageBreak"/>
      </w:pPr>
    </w:p>
    <w:p w:rsidR="00000000" w:rsidRPr="00C015A4" w:rsidP="00C015A4">
      <w:pPr>
        <w:pStyle w:val="Heading1"/>
      </w:pPr>
      <w:bookmarkStart w:id="5" w:name="O_740599"/>
      <w:bookmarkEnd w:id="5"/>
      <w:r w:rsidRPr="00C015A4">
        <w:t>Links</w:t>
      </w:r>
    </w:p>
    <w:p w:rsidR="00000000" w:rsidRPr="00C015A4" w:rsidP="00767E5A">
      <w:pPr>
        <w:pStyle w:val="BodyText"/>
      </w:pPr>
      <w:r w:rsidRPr="00C015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37B4">
        <w:rPr>
          <w:rStyle w:val="Hyperlink"/>
        </w:rPr>
        <w:t>https://vetnet.gov.au/Pages/TrainingDocs.aspx?q=df441c6e-213d-43e3-874c-0b3f7036d851</w:t>
      </w:r>
      <w:r>
        <w:fldChar w:fldCharType="end"/>
      </w:r>
    </w:p>
    <w:p w:rsidR="00000000" w:rsidRPr="00C015A4" w:rsidP="00C015A4"/>
    <w:sectPr w:rsidSect="00C015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A4" w:rsidRPr="00767E5A" w:rsidP="00767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5A" w:rsidP="00C01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E5A" w:rsidP="00C015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7E5A" w:rsidP="00C015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5A4" w:rsidRPr="00767E5A" w:rsidP="00767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5A" w:rsidRPr="002D2AF8" w:rsidP="00C015A4">
    <w:pPr>
      <w:pStyle w:val="Header"/>
      <w:framePr w:wrap="around"/>
    </w:pPr>
    <w:r>
      <w:fldChar w:fldCharType="begin"/>
    </w:r>
    <w:r>
      <w:instrText xml:space="preserve"> TITLE   \* MERGEFORMAT </w:instrText>
    </w:r>
    <w:r>
      <w:fldChar w:fldCharType="separate"/>
    </w:r>
    <w:r>
      <w:t>Assessment Requirements for TLIF4064 Manage fatigue management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67E5A" w:rsidP="00C015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C1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5C5E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5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5A4"/>
    <w:pPr>
      <w:spacing w:before="360" w:after="60"/>
      <w:outlineLvl w:val="0"/>
    </w:pPr>
    <w:rPr>
      <w:sz w:val="32"/>
    </w:rPr>
  </w:style>
  <w:style w:type="paragraph" w:styleId="Heading2">
    <w:name w:val="heading 2"/>
    <w:basedOn w:val="HeadingBase"/>
    <w:next w:val="BodyText"/>
    <w:link w:val="Heading2Char"/>
    <w:qFormat/>
    <w:rsid w:val="00C015A4"/>
    <w:pPr>
      <w:keepLines/>
      <w:spacing w:before="240" w:after="120"/>
      <w:outlineLvl w:val="1"/>
    </w:pPr>
    <w:rPr>
      <w:sz w:val="28"/>
      <w:szCs w:val="40"/>
    </w:rPr>
  </w:style>
  <w:style w:type="paragraph" w:styleId="Heading3">
    <w:name w:val="heading 3"/>
    <w:basedOn w:val="HeadingBase"/>
    <w:next w:val="BodyText"/>
    <w:link w:val="Heading3Char"/>
    <w:qFormat/>
    <w:rsid w:val="00C015A4"/>
    <w:pPr>
      <w:spacing w:before="180" w:after="120"/>
      <w:outlineLvl w:val="2"/>
    </w:pPr>
    <w:rPr>
      <w:spacing w:val="-10"/>
      <w:kern w:val="32"/>
    </w:rPr>
  </w:style>
  <w:style w:type="paragraph" w:styleId="Heading4">
    <w:name w:val="heading 4"/>
    <w:basedOn w:val="HeadingBase"/>
    <w:next w:val="BodyText"/>
    <w:link w:val="Heading4Char"/>
    <w:qFormat/>
    <w:rsid w:val="00C015A4"/>
    <w:pPr>
      <w:spacing w:before="160" w:after="120"/>
      <w:outlineLvl w:val="3"/>
    </w:pPr>
    <w:rPr>
      <w:sz w:val="22"/>
    </w:rPr>
  </w:style>
  <w:style w:type="paragraph" w:styleId="Heading5">
    <w:name w:val="heading 5"/>
    <w:basedOn w:val="HeadingBase"/>
    <w:next w:val="Normal"/>
    <w:link w:val="Heading5Char"/>
    <w:qFormat/>
    <w:rsid w:val="00C015A4"/>
    <w:pPr>
      <w:spacing w:before="80"/>
      <w:outlineLvl w:val="4"/>
    </w:pPr>
    <w:rPr>
      <w:color w:val="918585"/>
      <w:sz w:val="20"/>
    </w:rPr>
  </w:style>
  <w:style w:type="paragraph" w:styleId="Heading6">
    <w:name w:val="heading 6"/>
    <w:basedOn w:val="HeadingBase"/>
    <w:next w:val="Normal"/>
    <w:link w:val="Heading6Char"/>
    <w:qFormat/>
    <w:rsid w:val="00C015A4"/>
    <w:pPr>
      <w:spacing w:before="60"/>
      <w:outlineLvl w:val="5"/>
    </w:pPr>
    <w:rPr>
      <w:color w:val="918585"/>
      <w:sz w:val="20"/>
    </w:rPr>
  </w:style>
  <w:style w:type="paragraph" w:styleId="Heading7">
    <w:name w:val="heading 7"/>
    <w:basedOn w:val="Normal"/>
    <w:next w:val="Normal"/>
    <w:link w:val="Heading7Char"/>
    <w:qFormat/>
    <w:rsid w:val="00C015A4"/>
    <w:pPr>
      <w:ind w:left="720"/>
      <w:outlineLvl w:val="6"/>
    </w:pPr>
    <w:rPr>
      <w:i/>
    </w:rPr>
  </w:style>
  <w:style w:type="paragraph" w:styleId="Heading8">
    <w:name w:val="heading 8"/>
    <w:basedOn w:val="Normal"/>
    <w:next w:val="Normal"/>
    <w:link w:val="Heading8Char"/>
    <w:qFormat/>
    <w:rsid w:val="00C015A4"/>
    <w:pPr>
      <w:ind w:left="720"/>
      <w:outlineLvl w:val="7"/>
    </w:pPr>
    <w:rPr>
      <w:i/>
    </w:rPr>
  </w:style>
  <w:style w:type="paragraph" w:styleId="Heading9">
    <w:name w:val="heading 9"/>
    <w:basedOn w:val="Normal"/>
    <w:next w:val="Normal"/>
    <w:link w:val="Heading9Char"/>
    <w:qFormat/>
    <w:rsid w:val="00C015A4"/>
    <w:pPr>
      <w:ind w:left="720"/>
      <w:outlineLvl w:val="8"/>
    </w:pPr>
    <w:rPr>
      <w:i/>
    </w:rPr>
  </w:style>
  <w:style w:type="character" w:default="1" w:styleId="DefaultParagraphFont">
    <w:name w:val="Default Paragraph Font"/>
    <w:uiPriority w:val="1"/>
    <w:unhideWhenUsed/>
    <w:rsid w:val="00C01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5A4"/>
  </w:style>
  <w:style w:type="character" w:customStyle="1" w:styleId="Heading1Char">
    <w:name w:val="Heading 1 Char"/>
    <w:basedOn w:val="DefaultParagraphFont"/>
    <w:link w:val="Heading1"/>
    <w:rsid w:val="00C015A4"/>
    <w:rPr>
      <w:rFonts w:ascii="Times New Roman" w:eastAsia="Times New Roman" w:hAnsi="Times New Roman" w:cs="Times New Roman"/>
      <w:b/>
      <w:sz w:val="32"/>
      <w:szCs w:val="20"/>
      <w:lang w:eastAsia="en-US"/>
    </w:rPr>
  </w:style>
  <w:style w:type="paragraph" w:styleId="BodyText">
    <w:name w:val="Body Text"/>
    <w:basedOn w:val="Normal"/>
    <w:link w:val="BodyTextChar"/>
    <w:rsid w:val="00C015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5A4"/>
    <w:rPr>
      <w:rFonts w:ascii="Times New Roman" w:eastAsia="Times New Roman" w:hAnsi="Times New Roman" w:cs="Times New Roman"/>
      <w:sz w:val="24"/>
      <w:lang w:eastAsia="en-US"/>
    </w:rPr>
  </w:style>
  <w:style w:type="paragraph" w:styleId="ListBullet">
    <w:name w:val="List Bullet"/>
    <w:basedOn w:val="List"/>
    <w:rsid w:val="00C015A4"/>
    <w:pPr>
      <w:numPr>
        <w:numId w:val="11"/>
      </w:numPr>
      <w:tabs>
        <w:tab w:val="clear" w:pos="340"/>
      </w:tabs>
      <w:spacing w:before="40" w:after="40"/>
    </w:pPr>
  </w:style>
  <w:style w:type="paragraph" w:customStyle="1" w:styleId="SuperHeading">
    <w:name w:val="SuperHeading"/>
    <w:basedOn w:val="Normal"/>
    <w:rsid w:val="00C015A4"/>
    <w:pPr>
      <w:spacing w:before="240" w:after="120"/>
      <w:outlineLvl w:val="0"/>
    </w:pPr>
    <w:rPr>
      <w:rFonts w:ascii="Times New Roman" w:hAnsi="Times New Roman"/>
      <w:b/>
      <w:sz w:val="32"/>
    </w:rPr>
  </w:style>
  <w:style w:type="paragraph" w:customStyle="1" w:styleId="AllowPageBreak">
    <w:name w:val="AllowPageBreak"/>
    <w:rsid w:val="00C015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5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5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5A4"/>
    <w:rPr>
      <w:rFonts w:ascii="Courier New" w:eastAsia="Times New Roman" w:hAnsi="Courier New" w:cs="Times New Roman"/>
      <w:i/>
      <w:szCs w:val="20"/>
      <w:lang w:eastAsia="en-US"/>
    </w:rPr>
  </w:style>
  <w:style w:type="paragraph" w:customStyle="1" w:styleId="HeadingBase">
    <w:name w:val="Heading Base"/>
    <w:rsid w:val="00C01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5A4"/>
    <w:pPr>
      <w:tabs>
        <w:tab w:val="right" w:leader="dot" w:pos="9072"/>
      </w:tabs>
      <w:ind w:left="567"/>
    </w:pPr>
    <w:rPr>
      <w:szCs w:val="22"/>
    </w:rPr>
  </w:style>
  <w:style w:type="paragraph" w:customStyle="1" w:styleId="TOCBase">
    <w:name w:val="TOC Base"/>
    <w:rsid w:val="00C01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5A4"/>
    <w:pPr>
      <w:tabs>
        <w:tab w:val="right" w:leader="dot" w:pos="9072"/>
      </w:tabs>
      <w:spacing w:before="40" w:after="40"/>
      <w:ind w:left="284"/>
    </w:pPr>
    <w:rPr>
      <w:rFonts w:ascii="Times New Roman" w:hAnsi="Times New Roman"/>
    </w:rPr>
  </w:style>
  <w:style w:type="paragraph" w:styleId="TOC1">
    <w:name w:val="toc 1"/>
    <w:basedOn w:val="TOCBase"/>
    <w:next w:val="Normal"/>
    <w:rsid w:val="00C015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5A4"/>
    <w:rPr>
      <w:rFonts w:ascii="Times New Roman" w:eastAsia="Times New Roman" w:hAnsi="Times New Roman" w:cs="Times New Roman"/>
      <w:sz w:val="16"/>
      <w:lang w:eastAsia="en-US"/>
    </w:rPr>
  </w:style>
  <w:style w:type="paragraph" w:styleId="Title">
    <w:name w:val="Title"/>
    <w:basedOn w:val="HeadingBase"/>
    <w:link w:val="TitleChar"/>
    <w:qFormat/>
    <w:rsid w:val="00C015A4"/>
    <w:pPr>
      <w:spacing w:before="5040"/>
      <w:jc w:val="center"/>
    </w:pPr>
    <w:rPr>
      <w:sz w:val="48"/>
      <w:szCs w:val="72"/>
      <w:lang w:val="en-US"/>
    </w:rPr>
  </w:style>
  <w:style w:type="character" w:customStyle="1" w:styleId="TitleChar">
    <w:name w:val="Title Char"/>
    <w:basedOn w:val="DefaultParagraphFont"/>
    <w:link w:val="Title"/>
    <w:rsid w:val="00C01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5A4"/>
    <w:pPr>
      <w:tabs>
        <w:tab w:val="left" w:pos="3600"/>
        <w:tab w:val="left" w:pos="3958"/>
      </w:tabs>
    </w:pPr>
  </w:style>
  <w:style w:type="paragraph" w:styleId="List">
    <w:name w:val="List"/>
    <w:basedOn w:val="BodyText"/>
    <w:next w:val="BodyText"/>
    <w:rsid w:val="00C015A4"/>
    <w:pPr>
      <w:tabs>
        <w:tab w:val="left" w:pos="340"/>
      </w:tabs>
      <w:spacing w:before="60" w:after="60"/>
      <w:ind w:left="340" w:hanging="340"/>
    </w:pPr>
  </w:style>
  <w:style w:type="paragraph" w:customStyle="1" w:styleId="Note">
    <w:name w:val="Note"/>
    <w:basedOn w:val="BodyText"/>
    <w:rsid w:val="00C015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5A4"/>
    <w:rPr>
      <w:b/>
      <w:spacing w:val="0"/>
    </w:rPr>
  </w:style>
  <w:style w:type="paragraph" w:customStyle="1" w:styleId="SuperTitle">
    <w:name w:val="SuperTitle"/>
    <w:basedOn w:val="Title"/>
    <w:rsid w:val="00C015A4"/>
    <w:pPr>
      <w:framePr w:wrap="auto" w:hAnchor="text" w:y="6049"/>
    </w:pPr>
    <w:rPr>
      <w:color w:val="000000"/>
      <w:sz w:val="40"/>
    </w:rPr>
  </w:style>
  <w:style w:type="paragraph" w:customStyle="1" w:styleId="TOCTitle">
    <w:name w:val="TOCTitle"/>
    <w:basedOn w:val="Heading1"/>
    <w:rsid w:val="00C015A4"/>
    <w:pPr>
      <w:spacing w:after="240"/>
      <w:jc w:val="center"/>
      <w:outlineLvl w:val="9"/>
    </w:pPr>
    <w:rPr>
      <w:caps/>
    </w:rPr>
  </w:style>
  <w:style w:type="paragraph" w:customStyle="1" w:styleId="Version">
    <w:name w:val="Version"/>
    <w:rsid w:val="00C015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5A4"/>
    <w:pPr>
      <w:numPr>
        <w:numId w:val="12"/>
      </w:numPr>
      <w:tabs>
        <w:tab w:val="clear" w:pos="680"/>
      </w:tabs>
    </w:pPr>
  </w:style>
  <w:style w:type="paragraph" w:styleId="Index1">
    <w:name w:val="index 1"/>
    <w:basedOn w:val="Normal"/>
    <w:next w:val="Normal"/>
    <w:semiHidden/>
    <w:rsid w:val="00C015A4"/>
    <w:pPr>
      <w:keepNext w:val="0"/>
      <w:tabs>
        <w:tab w:val="right" w:pos="4176"/>
      </w:tabs>
      <w:ind w:left="198" w:hanging="198"/>
    </w:pPr>
    <w:rPr>
      <w:rFonts w:ascii="Garamond" w:hAnsi="Garamond"/>
    </w:rPr>
  </w:style>
  <w:style w:type="paragraph" w:styleId="IndexHeading">
    <w:name w:val="index heading"/>
    <w:basedOn w:val="Normal"/>
    <w:next w:val="Index1"/>
    <w:semiHidden/>
    <w:rsid w:val="00C015A4"/>
    <w:pPr>
      <w:spacing w:before="120" w:after="120"/>
    </w:pPr>
    <w:rPr>
      <w:rFonts w:ascii="Arial" w:hAnsi="Arial"/>
      <w:b/>
      <w:color w:val="918585"/>
      <w:sz w:val="24"/>
    </w:rPr>
  </w:style>
  <w:style w:type="paragraph" w:styleId="Header">
    <w:name w:val="header"/>
    <w:basedOn w:val="Normal"/>
    <w:link w:val="HeaderChar"/>
    <w:rsid w:val="00C01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5A4"/>
    <w:rPr>
      <w:rFonts w:ascii="Times New Roman" w:eastAsia="Times New Roman" w:hAnsi="Times New Roman" w:cs="Times New Roman"/>
      <w:sz w:val="16"/>
      <w:szCs w:val="20"/>
      <w:lang w:val="en-GB" w:eastAsia="en-US"/>
    </w:rPr>
  </w:style>
  <w:style w:type="paragraph" w:customStyle="1" w:styleId="Chapter">
    <w:name w:val="Chapter"/>
    <w:basedOn w:val="Normal"/>
    <w:rsid w:val="00C015A4"/>
    <w:pPr>
      <w:spacing w:before="240"/>
    </w:pPr>
    <w:rPr>
      <w:rFonts w:ascii="Times New Roman" w:hAnsi="Times New Roman"/>
      <w:smallCaps/>
      <w:spacing w:val="80"/>
      <w:sz w:val="28"/>
    </w:rPr>
  </w:style>
  <w:style w:type="paragraph" w:customStyle="1" w:styleId="InChapter">
    <w:name w:val="InChapter"/>
    <w:basedOn w:val="Heading3"/>
    <w:rsid w:val="00C015A4"/>
    <w:pPr>
      <w:spacing w:after="240"/>
      <w:outlineLvl w:val="9"/>
    </w:pPr>
    <w:rPr>
      <w:noProof/>
    </w:rPr>
  </w:style>
  <w:style w:type="paragraph" w:styleId="Index2">
    <w:name w:val="index 2"/>
    <w:basedOn w:val="Normal"/>
    <w:next w:val="Normal"/>
    <w:semiHidden/>
    <w:rsid w:val="00C015A4"/>
    <w:pPr>
      <w:tabs>
        <w:tab w:val="right" w:pos="4176"/>
      </w:tabs>
      <w:ind w:left="568" w:hanging="284"/>
    </w:pPr>
    <w:rPr>
      <w:rFonts w:ascii="Garamond" w:hAnsi="Garamond"/>
    </w:rPr>
  </w:style>
  <w:style w:type="paragraph" w:customStyle="1" w:styleId="Byline">
    <w:name w:val="Byline"/>
    <w:rsid w:val="00C01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5A4"/>
    <w:pPr>
      <w:tabs>
        <w:tab w:val="clear" w:pos="3600"/>
        <w:tab w:val="clear" w:pos="3958"/>
      </w:tabs>
      <w:jc w:val="right"/>
    </w:pPr>
  </w:style>
  <w:style w:type="character" w:styleId="Emphasis">
    <w:name w:val="Emphasis"/>
    <w:basedOn w:val="DefaultParagraphFont"/>
    <w:qFormat/>
    <w:rsid w:val="00C015A4"/>
    <w:rPr>
      <w:i/>
    </w:rPr>
  </w:style>
  <w:style w:type="paragraph" w:styleId="Caption">
    <w:name w:val="caption"/>
    <w:basedOn w:val="BodyText"/>
    <w:next w:val="Normal"/>
    <w:qFormat/>
    <w:rsid w:val="00C015A4"/>
    <w:pPr>
      <w:framePr w:w="2268" w:hSpace="181" w:vSpace="181" w:wrap="around" w:vAnchor="text" w:hAnchor="page" w:x="1135" w:y="285" w:anchorLock="1"/>
    </w:pPr>
    <w:rPr>
      <w:i/>
    </w:rPr>
  </w:style>
  <w:style w:type="paragraph" w:customStyle="1" w:styleId="MiniTOCTitle">
    <w:name w:val="MiniTOCTitle"/>
    <w:basedOn w:val="Heading4"/>
    <w:rsid w:val="00C015A4"/>
    <w:pPr>
      <w:spacing w:before="240"/>
      <w:outlineLvl w:val="9"/>
    </w:pPr>
    <w:rPr>
      <w:noProof/>
      <w:sz w:val="24"/>
    </w:rPr>
  </w:style>
  <w:style w:type="paragraph" w:customStyle="1" w:styleId="MiniTOCItem">
    <w:name w:val="MiniTOCItem"/>
    <w:basedOn w:val="ListBullet"/>
    <w:rsid w:val="00C015A4"/>
    <w:pPr>
      <w:numPr>
        <w:numId w:val="0"/>
      </w:numPr>
      <w:tabs>
        <w:tab w:val="right" w:leader="dot" w:pos="6521"/>
      </w:tabs>
      <w:spacing w:before="0" w:after="0"/>
    </w:pPr>
  </w:style>
  <w:style w:type="paragraph" w:customStyle="1" w:styleId="TOFTitle">
    <w:name w:val="TOFTitle"/>
    <w:basedOn w:val="TOCTitle"/>
    <w:rsid w:val="00C015A4"/>
  </w:style>
  <w:style w:type="paragraph" w:styleId="TableofFigures">
    <w:name w:val="table of figures"/>
    <w:basedOn w:val="Normal"/>
    <w:next w:val="Normal"/>
    <w:semiHidden/>
    <w:rsid w:val="00C015A4"/>
    <w:pPr>
      <w:tabs>
        <w:tab w:val="right" w:leader="dot" w:pos="9072"/>
      </w:tabs>
      <w:ind w:left="970" w:hanging="403"/>
    </w:pPr>
    <w:rPr>
      <w:rFonts w:ascii="Times New Roman" w:hAnsi="Times New Roman"/>
      <w:b/>
    </w:rPr>
  </w:style>
  <w:style w:type="paragraph" w:styleId="ListNumber">
    <w:name w:val="List Number"/>
    <w:basedOn w:val="List"/>
    <w:rsid w:val="00C015A4"/>
    <w:pPr>
      <w:numPr>
        <w:numId w:val="14"/>
      </w:numPr>
      <w:tabs>
        <w:tab w:val="clear" w:pos="340"/>
      </w:tabs>
    </w:pPr>
  </w:style>
  <w:style w:type="character" w:customStyle="1" w:styleId="WingdingSymbols">
    <w:name w:val="Wingding Symbols"/>
    <w:rsid w:val="00C015A4"/>
    <w:rPr>
      <w:rFonts w:ascii="Wingdings" w:hAnsi="Wingdings"/>
    </w:rPr>
  </w:style>
  <w:style w:type="paragraph" w:customStyle="1" w:styleId="TableHeading">
    <w:name w:val="Table Heading"/>
    <w:basedOn w:val="HeadingBase"/>
    <w:rsid w:val="00C015A4"/>
    <w:pPr>
      <w:keepLines/>
      <w:pBdr>
        <w:bottom w:val="single" w:sz="6" w:space="1" w:color="918585"/>
      </w:pBdr>
      <w:spacing w:before="240"/>
    </w:pPr>
  </w:style>
  <w:style w:type="character" w:customStyle="1" w:styleId="HotSpot">
    <w:name w:val="HotSpot"/>
    <w:rsid w:val="00C015A4"/>
    <w:rPr>
      <w:color w:val="0033CC"/>
      <w:u w:val="none"/>
    </w:rPr>
  </w:style>
  <w:style w:type="paragraph" w:customStyle="1" w:styleId="BodyTextRight">
    <w:name w:val="Body Text Right"/>
    <w:basedOn w:val="BodyText"/>
    <w:rsid w:val="00C015A4"/>
    <w:pPr>
      <w:spacing w:before="0" w:after="0"/>
      <w:jc w:val="right"/>
    </w:pPr>
  </w:style>
  <w:style w:type="paragraph" w:styleId="Index3">
    <w:name w:val="index 3"/>
    <w:basedOn w:val="ListNumber2"/>
    <w:next w:val="Normal"/>
    <w:semiHidden/>
    <w:rsid w:val="00C015A4"/>
    <w:pPr>
      <w:numPr>
        <w:numId w:val="0"/>
      </w:numPr>
      <w:tabs>
        <w:tab w:val="right" w:leader="dot" w:pos="4176"/>
      </w:tabs>
    </w:pPr>
  </w:style>
  <w:style w:type="paragraph" w:styleId="ListNumber2">
    <w:name w:val="List Number 2"/>
    <w:basedOn w:val="List2"/>
    <w:rsid w:val="00C015A4"/>
    <w:pPr>
      <w:numPr>
        <w:numId w:val="9"/>
      </w:numPr>
      <w:tabs>
        <w:tab w:val="clear" w:pos="1060"/>
      </w:tabs>
    </w:pPr>
  </w:style>
  <w:style w:type="paragraph" w:customStyle="1" w:styleId="MarginNote">
    <w:name w:val="Margin Note"/>
    <w:basedOn w:val="BodyText"/>
    <w:rsid w:val="00C01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5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5A4"/>
    <w:rPr>
      <w:sz w:val="32"/>
    </w:rPr>
  </w:style>
  <w:style w:type="paragraph" w:customStyle="1" w:styleId="HeadingProcedure">
    <w:name w:val="Heading Procedure"/>
    <w:basedOn w:val="HeadingBase"/>
    <w:next w:val="Normal"/>
    <w:rsid w:val="00C015A4"/>
    <w:pPr>
      <w:tabs>
        <w:tab w:val="left" w:pos="0"/>
      </w:tabs>
      <w:spacing w:before="120" w:after="60"/>
    </w:pPr>
    <w:rPr>
      <w:i/>
      <w:color w:val="918585"/>
      <w:sz w:val="22"/>
    </w:rPr>
  </w:style>
  <w:style w:type="paragraph" w:customStyle="1" w:styleId="TableBodyText">
    <w:name w:val="Table Body Text"/>
    <w:basedOn w:val="BodyText"/>
    <w:rsid w:val="00C015A4"/>
    <w:pPr>
      <w:spacing w:before="60" w:after="60"/>
    </w:pPr>
  </w:style>
  <w:style w:type="paragraph" w:styleId="ListContinue">
    <w:name w:val="List Continue"/>
    <w:basedOn w:val="List"/>
    <w:rsid w:val="00C015A4"/>
    <w:pPr>
      <w:ind w:firstLine="0"/>
    </w:pPr>
  </w:style>
  <w:style w:type="paragraph" w:customStyle="1" w:styleId="ListNote">
    <w:name w:val="List Note"/>
    <w:basedOn w:val="List"/>
    <w:rsid w:val="00C015A4"/>
    <w:pPr>
      <w:pBdr>
        <w:top w:val="single" w:sz="6" w:space="2" w:color="918585"/>
        <w:bottom w:val="single" w:sz="6" w:space="2" w:color="918585"/>
      </w:pBdr>
      <w:tabs>
        <w:tab w:val="left" w:pos="1021"/>
      </w:tabs>
      <w:ind w:firstLine="0"/>
    </w:pPr>
  </w:style>
  <w:style w:type="paragraph" w:customStyle="1" w:styleId="Warning">
    <w:name w:val="Warning"/>
    <w:basedOn w:val="BodyText"/>
    <w:rsid w:val="00C015A4"/>
    <w:pPr>
      <w:shd w:val="clear" w:color="auto" w:fill="D9D9D9"/>
      <w:tabs>
        <w:tab w:val="left" w:pos="992"/>
      </w:tabs>
      <w:ind w:left="119" w:right="119"/>
    </w:pPr>
    <w:rPr>
      <w:sz w:val="20"/>
    </w:rPr>
  </w:style>
  <w:style w:type="paragraph" w:customStyle="1" w:styleId="MarginIcons">
    <w:name w:val="Margin Icons"/>
    <w:basedOn w:val="BodyText"/>
    <w:rsid w:val="00C01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5A4"/>
    <w:rPr>
      <w:rFonts w:ascii="Courier New" w:hAnsi="Courier New"/>
    </w:rPr>
  </w:style>
  <w:style w:type="paragraph" w:customStyle="1" w:styleId="NoteBullet">
    <w:name w:val="Note Bullet"/>
    <w:basedOn w:val="Note"/>
    <w:rsid w:val="00C015A4"/>
    <w:pPr>
      <w:tabs>
        <w:tab w:val="clear" w:pos="680"/>
      </w:tabs>
      <w:spacing w:before="60" w:after="60"/>
    </w:pPr>
  </w:style>
  <w:style w:type="paragraph" w:customStyle="1" w:styleId="SubHeading2">
    <w:name w:val="SubHeading2"/>
    <w:basedOn w:val="HeadingBase"/>
    <w:rsid w:val="00C015A4"/>
    <w:pPr>
      <w:spacing w:before="240" w:after="60"/>
    </w:pPr>
    <w:rPr>
      <w:sz w:val="20"/>
    </w:rPr>
  </w:style>
  <w:style w:type="paragraph" w:customStyle="1" w:styleId="SubHeading1">
    <w:name w:val="SubHeading1"/>
    <w:basedOn w:val="HeadingBase"/>
    <w:rsid w:val="00C015A4"/>
    <w:pPr>
      <w:spacing w:before="240" w:after="60"/>
    </w:pPr>
    <w:rPr>
      <w:color w:val="918585"/>
      <w:sz w:val="22"/>
    </w:rPr>
  </w:style>
  <w:style w:type="paragraph" w:customStyle="1" w:styleId="SideHeading">
    <w:name w:val="Side Heading"/>
    <w:basedOn w:val="HeadingBase"/>
    <w:rsid w:val="00C01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5A4"/>
    <w:pPr>
      <w:numPr>
        <w:numId w:val="10"/>
      </w:numPr>
    </w:pPr>
  </w:style>
  <w:style w:type="paragraph" w:styleId="PlainText">
    <w:name w:val="Plain Text"/>
    <w:basedOn w:val="Normal"/>
    <w:link w:val="PlainTextChar"/>
    <w:rsid w:val="00C015A4"/>
    <w:rPr>
      <w:sz w:val="20"/>
    </w:rPr>
  </w:style>
  <w:style w:type="character" w:customStyle="1" w:styleId="PlainTextChar">
    <w:name w:val="Plain Text Char"/>
    <w:basedOn w:val="DefaultParagraphFont"/>
    <w:link w:val="PlainText"/>
    <w:rsid w:val="00C015A4"/>
    <w:rPr>
      <w:rFonts w:ascii="Courier New" w:eastAsia="Times New Roman" w:hAnsi="Courier New" w:cs="Times New Roman"/>
      <w:sz w:val="20"/>
      <w:szCs w:val="20"/>
      <w:lang w:eastAsia="en-US"/>
    </w:rPr>
  </w:style>
  <w:style w:type="character" w:customStyle="1" w:styleId="MenuOption">
    <w:name w:val="Menu Option"/>
    <w:basedOn w:val="DefaultParagraphFont"/>
    <w:rsid w:val="00C015A4"/>
    <w:rPr>
      <w:b/>
      <w:smallCaps/>
    </w:rPr>
  </w:style>
  <w:style w:type="paragraph" w:customStyle="1" w:styleId="TableListNumber">
    <w:name w:val="Table List Number"/>
    <w:basedOn w:val="ListNumber"/>
    <w:rsid w:val="00C015A4"/>
    <w:pPr>
      <w:numPr>
        <w:numId w:val="0"/>
      </w:numPr>
    </w:pPr>
  </w:style>
  <w:style w:type="paragraph" w:styleId="TOC4">
    <w:name w:val="toc 4"/>
    <w:basedOn w:val="TOCBase"/>
    <w:next w:val="Normal"/>
    <w:semiHidden/>
    <w:rsid w:val="00C015A4"/>
    <w:pPr>
      <w:tabs>
        <w:tab w:val="right" w:leader="dot" w:pos="9071"/>
      </w:tabs>
      <w:ind w:left="1701"/>
    </w:pPr>
  </w:style>
  <w:style w:type="paragraph" w:customStyle="1" w:styleId="ListAlpha">
    <w:name w:val="List Alpha"/>
    <w:basedOn w:val="List"/>
    <w:rsid w:val="00C015A4"/>
    <w:pPr>
      <w:numPr>
        <w:numId w:val="8"/>
      </w:numPr>
    </w:pPr>
  </w:style>
  <w:style w:type="paragraph" w:customStyle="1" w:styleId="ListAlpha2">
    <w:name w:val="List Alpha 2"/>
    <w:basedOn w:val="List2"/>
    <w:rsid w:val="00C015A4"/>
    <w:pPr>
      <w:numPr>
        <w:numId w:val="7"/>
      </w:numPr>
    </w:pPr>
  </w:style>
  <w:style w:type="paragraph" w:styleId="List2">
    <w:name w:val="List 2"/>
    <w:basedOn w:val="BodyText"/>
    <w:rsid w:val="00C015A4"/>
    <w:pPr>
      <w:tabs>
        <w:tab w:val="left" w:pos="680"/>
      </w:tabs>
      <w:spacing w:before="60" w:after="60"/>
      <w:ind w:left="680" w:hanging="340"/>
    </w:pPr>
  </w:style>
  <w:style w:type="paragraph" w:styleId="List3">
    <w:name w:val="List 3"/>
    <w:basedOn w:val="BodyText"/>
    <w:rsid w:val="00C015A4"/>
    <w:pPr>
      <w:tabs>
        <w:tab w:val="left" w:pos="1021"/>
      </w:tabs>
      <w:spacing w:before="60" w:after="60"/>
      <w:ind w:left="1020" w:hanging="340"/>
    </w:pPr>
  </w:style>
  <w:style w:type="paragraph" w:styleId="List4">
    <w:name w:val="List 4"/>
    <w:basedOn w:val="BodyText"/>
    <w:rsid w:val="00C015A4"/>
    <w:pPr>
      <w:tabs>
        <w:tab w:val="left" w:pos="1361"/>
      </w:tabs>
      <w:spacing w:before="60" w:after="60"/>
      <w:ind w:left="1361" w:hanging="340"/>
    </w:pPr>
  </w:style>
  <w:style w:type="paragraph" w:styleId="List5">
    <w:name w:val="List 5"/>
    <w:basedOn w:val="BodyText"/>
    <w:rsid w:val="00C015A4"/>
    <w:pPr>
      <w:tabs>
        <w:tab w:val="left" w:pos="1701"/>
      </w:tabs>
      <w:spacing w:before="60" w:after="60"/>
      <w:ind w:left="1701" w:hanging="340"/>
    </w:pPr>
  </w:style>
  <w:style w:type="paragraph" w:styleId="ListBullet3">
    <w:name w:val="List Bullet 3"/>
    <w:basedOn w:val="List3"/>
    <w:rsid w:val="00C015A4"/>
    <w:pPr>
      <w:numPr>
        <w:numId w:val="13"/>
      </w:numPr>
      <w:tabs>
        <w:tab w:val="clear" w:pos="1021"/>
      </w:tabs>
      <w:ind w:left="1037" w:hanging="357"/>
    </w:pPr>
  </w:style>
  <w:style w:type="paragraph" w:styleId="ListBullet4">
    <w:name w:val="List Bullet 4"/>
    <w:basedOn w:val="List4"/>
    <w:rsid w:val="00C015A4"/>
    <w:pPr>
      <w:numPr>
        <w:numId w:val="2"/>
      </w:numPr>
      <w:tabs>
        <w:tab w:val="clear" w:pos="1361"/>
      </w:tabs>
    </w:pPr>
  </w:style>
  <w:style w:type="paragraph" w:styleId="ListBullet5">
    <w:name w:val="List Bullet 5"/>
    <w:basedOn w:val="List5"/>
    <w:rsid w:val="00C015A4"/>
    <w:pPr>
      <w:numPr>
        <w:numId w:val="3"/>
      </w:numPr>
    </w:pPr>
  </w:style>
  <w:style w:type="paragraph" w:styleId="ListContinue2">
    <w:name w:val="List Continue 2"/>
    <w:basedOn w:val="List2"/>
    <w:rsid w:val="00C015A4"/>
    <w:pPr>
      <w:ind w:firstLine="0"/>
    </w:pPr>
  </w:style>
  <w:style w:type="paragraph" w:styleId="ListContinue3">
    <w:name w:val="List Continue 3"/>
    <w:basedOn w:val="List3"/>
    <w:rsid w:val="00C015A4"/>
    <w:pPr>
      <w:ind w:left="1021" w:firstLine="0"/>
    </w:pPr>
  </w:style>
  <w:style w:type="paragraph" w:styleId="ListContinue4">
    <w:name w:val="List Continue 4"/>
    <w:basedOn w:val="List4"/>
    <w:rsid w:val="00C015A4"/>
    <w:pPr>
      <w:ind w:firstLine="0"/>
    </w:pPr>
  </w:style>
  <w:style w:type="paragraph" w:styleId="ListContinue5">
    <w:name w:val="List Continue 5"/>
    <w:basedOn w:val="List5"/>
    <w:rsid w:val="00C015A4"/>
    <w:pPr>
      <w:ind w:firstLine="0"/>
    </w:pPr>
  </w:style>
  <w:style w:type="paragraph" w:styleId="ListNumber3">
    <w:name w:val="List Number 3"/>
    <w:basedOn w:val="List3"/>
    <w:rsid w:val="00C015A4"/>
    <w:pPr>
      <w:numPr>
        <w:numId w:val="4"/>
      </w:numPr>
    </w:pPr>
  </w:style>
  <w:style w:type="paragraph" w:styleId="ListNumber4">
    <w:name w:val="List Number 4"/>
    <w:basedOn w:val="List4"/>
    <w:rsid w:val="00C015A4"/>
    <w:pPr>
      <w:numPr>
        <w:numId w:val="5"/>
      </w:numPr>
    </w:pPr>
  </w:style>
  <w:style w:type="paragraph" w:styleId="ListNumber5">
    <w:name w:val="List Number 5"/>
    <w:basedOn w:val="List5"/>
    <w:rsid w:val="00C015A4"/>
    <w:pPr>
      <w:numPr>
        <w:numId w:val="6"/>
      </w:numPr>
    </w:pPr>
  </w:style>
  <w:style w:type="paragraph" w:styleId="BlockText">
    <w:name w:val="Block Text"/>
    <w:basedOn w:val="Normal"/>
    <w:rsid w:val="00C015A4"/>
    <w:pPr>
      <w:spacing w:after="120"/>
      <w:ind w:left="1440" w:right="1440"/>
    </w:pPr>
  </w:style>
  <w:style w:type="character" w:customStyle="1" w:styleId="Subscript">
    <w:name w:val="Subscript"/>
    <w:basedOn w:val="DefaultParagraphFont"/>
    <w:rsid w:val="00C015A4"/>
    <w:rPr>
      <w:sz w:val="16"/>
      <w:vertAlign w:val="subscript"/>
    </w:rPr>
  </w:style>
  <w:style w:type="character" w:customStyle="1" w:styleId="Superscript">
    <w:name w:val="Superscript"/>
    <w:basedOn w:val="DefaultParagraphFont"/>
    <w:rsid w:val="00C015A4"/>
    <w:rPr>
      <w:sz w:val="16"/>
      <w:vertAlign w:val="superscript"/>
    </w:rPr>
  </w:style>
  <w:style w:type="character" w:customStyle="1" w:styleId="Symbols">
    <w:name w:val="Symbols"/>
    <w:basedOn w:val="DefaultParagraphFont"/>
    <w:rsid w:val="00C015A4"/>
    <w:rPr>
      <w:rFonts w:ascii="Symbol" w:hAnsi="Symbol"/>
    </w:rPr>
  </w:style>
  <w:style w:type="character" w:customStyle="1" w:styleId="MenuOptions">
    <w:name w:val="Menu Options"/>
    <w:basedOn w:val="DefaultParagraphFont"/>
    <w:rsid w:val="00C015A4"/>
    <w:rPr>
      <w:rFonts w:ascii="Arial Narrow" w:hAnsi="Arial Narrow"/>
      <w:smallCaps/>
    </w:rPr>
  </w:style>
  <w:style w:type="character" w:customStyle="1" w:styleId="Buttons">
    <w:name w:val="Buttons"/>
    <w:basedOn w:val="DefaultParagraphFont"/>
    <w:rsid w:val="00C015A4"/>
    <w:rPr>
      <w:b/>
    </w:rPr>
  </w:style>
  <w:style w:type="character" w:customStyle="1" w:styleId="Underlined">
    <w:name w:val="Underlined"/>
    <w:basedOn w:val="DefaultParagraphFont"/>
    <w:rsid w:val="00C015A4"/>
    <w:rPr>
      <w:u w:val="single"/>
    </w:rPr>
  </w:style>
  <w:style w:type="paragraph" w:customStyle="1" w:styleId="TableBodyTextRight">
    <w:name w:val="Table Body Text Right"/>
    <w:basedOn w:val="TableBodyText"/>
    <w:rsid w:val="00C015A4"/>
    <w:pPr>
      <w:widowControl w:val="0"/>
      <w:autoSpaceDE w:val="0"/>
      <w:autoSpaceDN w:val="0"/>
      <w:adjustRightInd w:val="0"/>
      <w:jc w:val="right"/>
    </w:pPr>
    <w:rPr>
      <w:rFonts w:cs="Arial"/>
      <w:szCs w:val="18"/>
    </w:rPr>
  </w:style>
  <w:style w:type="paragraph" w:customStyle="1" w:styleId="CopyrightText">
    <w:name w:val="Copyright Text"/>
    <w:basedOn w:val="BodyText"/>
    <w:rsid w:val="00C015A4"/>
    <w:rPr>
      <w:sz w:val="18"/>
    </w:rPr>
  </w:style>
  <w:style w:type="paragraph" w:customStyle="1" w:styleId="BodySmallRight">
    <w:name w:val="Body Small Right"/>
    <w:basedOn w:val="BodyTextRight"/>
    <w:rsid w:val="00C015A4"/>
    <w:rPr>
      <w:sz w:val="18"/>
      <w:szCs w:val="18"/>
    </w:rPr>
  </w:style>
  <w:style w:type="paragraph" w:customStyle="1" w:styleId="MarginEdition">
    <w:name w:val="Margin Edition"/>
    <w:basedOn w:val="MarginNote"/>
    <w:rsid w:val="00C015A4"/>
    <w:pPr>
      <w:spacing w:before="0" w:after="0"/>
    </w:pPr>
    <w:rPr>
      <w:rFonts w:ascii="Times New Roman" w:hAnsi="Times New Roman"/>
      <w:color w:val="999999"/>
    </w:rPr>
  </w:style>
  <w:style w:type="paragraph" w:customStyle="1" w:styleId="Spacer">
    <w:name w:val="Spacer"/>
    <w:basedOn w:val="Normal"/>
    <w:rsid w:val="00C015A4"/>
    <w:rPr>
      <w:sz w:val="2"/>
      <w:szCs w:val="2"/>
    </w:rPr>
  </w:style>
  <w:style w:type="character" w:customStyle="1" w:styleId="Small">
    <w:name w:val="Small"/>
    <w:basedOn w:val="DefaultParagraphFont"/>
    <w:rsid w:val="00C015A4"/>
    <w:rPr>
      <w:sz w:val="16"/>
    </w:rPr>
  </w:style>
  <w:style w:type="paragraph" w:customStyle="1" w:styleId="WideTable">
    <w:name w:val="Wide Table"/>
    <w:basedOn w:val="Normal"/>
    <w:rsid w:val="00C015A4"/>
    <w:pPr>
      <w:ind w:left="-1418"/>
    </w:pPr>
    <w:rPr>
      <w:sz w:val="2"/>
      <w:szCs w:val="2"/>
    </w:rPr>
  </w:style>
  <w:style w:type="character" w:styleId="PageNumber">
    <w:name w:val="page number"/>
    <w:basedOn w:val="DefaultParagraphFont"/>
    <w:rsid w:val="00C015A4"/>
  </w:style>
  <w:style w:type="paragraph" w:styleId="Quote">
    <w:name w:val="Quote"/>
    <w:basedOn w:val="Heading1"/>
    <w:link w:val="QuoteChar"/>
    <w:qFormat/>
    <w:rsid w:val="00C015A4"/>
    <w:rPr>
      <w:b w:val="0"/>
      <w:sz w:val="72"/>
      <w:szCs w:val="72"/>
      <w:lang w:val="en-NZ"/>
    </w:rPr>
  </w:style>
  <w:style w:type="character" w:customStyle="1" w:styleId="QuoteChar">
    <w:name w:val="Quote Char"/>
    <w:basedOn w:val="DefaultParagraphFont"/>
    <w:link w:val="Quote"/>
    <w:rsid w:val="00C01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5A4"/>
    <w:pPr>
      <w:pageBreakBefore/>
    </w:pPr>
  </w:style>
  <w:style w:type="paragraph" w:customStyle="1" w:styleId="Border">
    <w:name w:val="Border"/>
    <w:basedOn w:val="Normal"/>
    <w:qFormat/>
    <w:rsid w:val="00C01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5A4"/>
    <w:rPr>
      <w:b/>
      <w:bCs/>
      <w:i/>
      <w:iCs/>
      <w:color w:val="auto"/>
    </w:rPr>
  </w:style>
  <w:style w:type="paragraph" w:styleId="IntenseQuote">
    <w:name w:val="Intense Quote"/>
    <w:basedOn w:val="Normal"/>
    <w:next w:val="Normal"/>
    <w:link w:val="IntenseQuoteChar"/>
    <w:uiPriority w:val="30"/>
    <w:qFormat/>
    <w:rsid w:val="00C01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5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5A4"/>
    <w:rPr>
      <w:smallCaps/>
      <w:color w:val="auto"/>
      <w:u w:val="single"/>
    </w:rPr>
  </w:style>
  <w:style w:type="character" w:styleId="IntenseReference">
    <w:name w:val="Intense Reference"/>
    <w:basedOn w:val="DefaultParagraphFont"/>
    <w:uiPriority w:val="32"/>
    <w:qFormat/>
    <w:rsid w:val="00C015A4"/>
    <w:rPr>
      <w:b/>
      <w:bCs/>
      <w:smallCaps/>
      <w:color w:val="auto"/>
      <w:spacing w:val="5"/>
      <w:u w:val="single"/>
    </w:rPr>
  </w:style>
  <w:style w:type="paragraph" w:customStyle="1" w:styleId="2ColumnHeading">
    <w:name w:val="2Column Heading"/>
    <w:basedOn w:val="BodyText"/>
    <w:qFormat/>
    <w:rsid w:val="00C015A4"/>
    <w:pPr>
      <w:spacing w:after="60"/>
      <w:ind w:left="-2268"/>
    </w:pPr>
    <w:rPr>
      <w:b/>
    </w:rPr>
  </w:style>
  <w:style w:type="paragraph" w:customStyle="1" w:styleId="Heading1TOC">
    <w:name w:val="Heading1 TOC"/>
    <w:basedOn w:val="Normal"/>
    <w:qFormat/>
    <w:rsid w:val="00C015A4"/>
    <w:pPr>
      <w:spacing w:before="240" w:after="120"/>
    </w:pPr>
    <w:rPr>
      <w:rFonts w:ascii="Times New Roman" w:hAnsi="Times New Roman"/>
      <w:b/>
      <w:sz w:val="32"/>
    </w:rPr>
  </w:style>
  <w:style w:type="paragraph" w:customStyle="1" w:styleId="Heading2TOC">
    <w:name w:val="Heading2 TOC"/>
    <w:basedOn w:val="Normal"/>
    <w:qFormat/>
    <w:rsid w:val="00C015A4"/>
    <w:pPr>
      <w:spacing w:before="240" w:after="60"/>
    </w:pPr>
    <w:rPr>
      <w:rFonts w:ascii="Times New Roman" w:hAnsi="Times New Roman"/>
      <w:b/>
      <w:sz w:val="28"/>
    </w:rPr>
  </w:style>
  <w:style w:type="character" w:customStyle="1" w:styleId="Underline">
    <w:name w:val="Underline"/>
    <w:basedOn w:val="DefaultParagraphFont"/>
    <w:qFormat/>
    <w:rsid w:val="00C015A4"/>
    <w:rPr>
      <w:u w:val="single"/>
    </w:rPr>
  </w:style>
  <w:style w:type="character" w:customStyle="1" w:styleId="BoldandItalics">
    <w:name w:val="Bold and Italics"/>
    <w:qFormat/>
    <w:rsid w:val="00C015A4"/>
    <w:rPr>
      <w:b/>
      <w:i/>
      <w:u w:val="none"/>
    </w:rPr>
  </w:style>
  <w:style w:type="paragraph" w:styleId="BalloonText">
    <w:name w:val="Balloon Text"/>
    <w:basedOn w:val="Normal"/>
    <w:link w:val="BalloonTextChar"/>
    <w:rsid w:val="00C015A4"/>
    <w:rPr>
      <w:rFonts w:ascii="Tahoma" w:hAnsi="Tahoma" w:cs="Tahoma"/>
      <w:sz w:val="16"/>
      <w:szCs w:val="16"/>
    </w:rPr>
  </w:style>
  <w:style w:type="character" w:customStyle="1" w:styleId="BalloonTextChar">
    <w:name w:val="Balloon Text Char"/>
    <w:basedOn w:val="DefaultParagraphFont"/>
    <w:link w:val="BalloonText"/>
    <w:rsid w:val="00C015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5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5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5A4"/>
    <w:rPr>
      <w:b/>
      <w:color w:val="660033"/>
      <w:spacing w:val="0"/>
    </w:rPr>
  </w:style>
  <w:style w:type="paragraph" w:customStyle="1" w:styleId="Nameditemlist">
    <w:name w:val="Named item list"/>
    <w:basedOn w:val="BodyText"/>
    <w:qFormat/>
    <w:rsid w:val="00C015A4"/>
    <w:pPr>
      <w:tabs>
        <w:tab w:val="left" w:pos="2835"/>
      </w:tabs>
      <w:ind w:left="2835" w:hanging="2835"/>
    </w:pPr>
  </w:style>
  <w:style w:type="paragraph" w:customStyle="1" w:styleId="BodyTextnopadding">
    <w:name w:val="Body Text no padding"/>
    <w:basedOn w:val="BodyText"/>
    <w:qFormat/>
    <w:rsid w:val="00C015A4"/>
    <w:pPr>
      <w:spacing w:before="0" w:after="0"/>
    </w:pPr>
  </w:style>
  <w:style w:type="paragraph" w:customStyle="1" w:styleId="BodyTextBold">
    <w:name w:val="Body Text Bold"/>
    <w:basedOn w:val="BodyText"/>
    <w:qFormat/>
    <w:rsid w:val="00C015A4"/>
    <w:rPr>
      <w:b/>
    </w:rPr>
  </w:style>
  <w:style w:type="character" w:styleId="Hyperlink">
    <w:name w:val="Hyperlink"/>
    <w:basedOn w:val="DefaultParagraphFont"/>
    <w:uiPriority w:val="99"/>
    <w:unhideWhenUsed/>
    <w:rsid w:val="00767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4907</Characters>
  <Application>Microsoft Office Word</Application>
  <DocSecurity>0</DocSecurity>
  <Lines>84</Lines>
  <Paragraphs>57</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TLIF4064 Manage fatigue management policy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