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32A" w:rsidP="00EF63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TLIF3096 Carry out emergency response to a dangerous goods incident</w:t>
      </w:r>
      <w:r>
        <w:fldChar w:fldCharType="end"/>
      </w:r>
    </w:p>
    <w:p w:rsidR="00EF632A" w:rsidP="00EF632A">
      <w:pPr>
        <w:pStyle w:val="Version"/>
        <w:sectPr w:rsidSect="00BF1E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1E7E" w:rsidP="00BF1E7E">
      <w:pPr>
        <w:pStyle w:val="SuperHeading"/>
      </w:pPr>
      <w:r w:rsidRPr="00BF1E7E">
        <w:t>Assessment Requirements for TLIF3096 Carry out emergency response to a dangerous goods incident</w:t>
      </w:r>
    </w:p>
    <w:p w:rsidR="00000000" w:rsidRPr="00BF1E7E" w:rsidP="00BF1E7E">
      <w:pPr>
        <w:pStyle w:val="Heading1"/>
      </w:pPr>
      <w:bookmarkStart w:id="1" w:name="O_1196000"/>
      <w:bookmarkEnd w:id="1"/>
      <w:r w:rsidRPr="00BF1E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1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E7E" w:rsidP="00BF1E7E">
            <w:pPr>
              <w:pStyle w:val="BodyText"/>
            </w:pPr>
            <w:r w:rsidRPr="00BF1E7E">
              <w:rPr>
                <w:rStyle w:val="SpecialBold"/>
              </w:rPr>
              <w:t>Release 2.</w:t>
            </w:r>
            <w:r w:rsidRPr="00BF1E7E">
              <w:t xml:space="preserve"> This is the second release of this unit of competency in the TLI Transport and Logistics Training Package.  </w:t>
            </w:r>
          </w:p>
          <w:p w:rsidR="00000000" w:rsidRPr="00BF1E7E" w:rsidP="00BF1E7E">
            <w:pPr>
              <w:pStyle w:val="ListBullet2"/>
            </w:pPr>
            <w:r w:rsidRPr="00BF1E7E">
              <w:t>Minor changes to unit Application</w:t>
            </w:r>
          </w:p>
          <w:p w:rsidR="00000000" w:rsidRPr="00BF1E7E" w:rsidP="00BF1E7E">
            <w:pPr>
              <w:pStyle w:val="ListBullet2"/>
            </w:pPr>
            <w:r w:rsidRPr="00BF1E7E">
              <w:t>Minor changes to Performance Criteria</w:t>
            </w:r>
          </w:p>
          <w:p w:rsidR="00000000" w:rsidRPr="00BF1E7E" w:rsidP="00BF1E7E">
            <w:pPr>
              <w:pStyle w:val="ListBullet2"/>
            </w:pPr>
            <w:r w:rsidRPr="00BF1E7E">
              <w:t>Minor changes to Performance Evidence</w:t>
            </w:r>
          </w:p>
          <w:p w:rsidR="00000000" w:rsidRPr="00BF1E7E" w:rsidP="00BF1E7E">
            <w:pPr>
              <w:pStyle w:val="ListBullet2"/>
            </w:pPr>
            <w:r w:rsidRPr="00BF1E7E">
              <w:t>Minor changes to Knowledge Evidence</w:t>
            </w:r>
          </w:p>
          <w:p w:rsidR="00000000" w:rsidP="00BF1E7E">
            <w:pPr>
              <w:pStyle w:val="ListBullet2"/>
              <w:rPr>
                <w:lang w:val="en-NZ"/>
              </w:rPr>
            </w:pPr>
            <w:r w:rsidRPr="00BF1E7E">
              <w:t>Minor changes to Assessment Conditions.</w:t>
            </w:r>
          </w:p>
        </w:tc>
      </w:tr>
      <w:tr w:rsidTr="00BF1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E7E" w:rsidP="00BF1E7E">
            <w:pPr>
              <w:pStyle w:val="BodyText"/>
            </w:pPr>
            <w:r w:rsidRPr="00BF1E7E">
              <w:rPr>
                <w:rStyle w:val="SpecialBold"/>
              </w:rPr>
              <w:t>Release 1.</w:t>
            </w:r>
            <w:r w:rsidRPr="00BF1E7E">
              <w:t xml:space="preserve"> This is the first release of this unit of competency in t</w:t>
            </w:r>
            <w:r w:rsidRPr="00BF1E7E">
              <w:t>he TLI Transport and Logistics Training Package.</w:t>
            </w:r>
          </w:p>
        </w:tc>
      </w:tr>
    </w:tbl>
    <w:p w:rsidR="00000000" w:rsidRPr="00BF1E7E" w:rsidP="00BF1E7E">
      <w:pPr>
        <w:pStyle w:val="NoPaddingFontSize1"/>
      </w:pPr>
    </w:p>
    <w:p w:rsidR="00000000" w:rsidRPr="00BF1E7E" w:rsidP="00BF1E7E">
      <w:pPr>
        <w:pStyle w:val="AllowPageBreak"/>
      </w:pPr>
    </w:p>
    <w:p w:rsidR="00000000" w:rsidRPr="00BF1E7E" w:rsidP="00BF1E7E">
      <w:pPr>
        <w:pStyle w:val="Heading1"/>
      </w:pPr>
      <w:bookmarkStart w:id="2" w:name="O_1195999"/>
      <w:bookmarkEnd w:id="2"/>
      <w:r w:rsidRPr="00BF1E7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1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E7E">
            <w:pPr>
              <w:pStyle w:val="BodyText"/>
              <w:rPr>
                <w:lang w:val="en-NZ"/>
              </w:rPr>
            </w:pPr>
            <w:r w:rsidRPr="00BF1E7E">
              <w:t>Evidence required to demonstrate competence in this unit must be relevant to and satisfy all the requirements of the elements and performance criteria on at least on</w:t>
            </w:r>
            <w:r w:rsidRPr="00BF1E7E">
              <w:t>e occasion and include:</w:t>
            </w:r>
          </w:p>
        </w:tc>
      </w:tr>
      <w:tr w:rsidTr="00BF1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E7E" w:rsidP="00BF1E7E">
            <w:pPr>
              <w:pStyle w:val="ListBullet"/>
            </w:pPr>
            <w:r w:rsidRPr="00BF1E7E">
              <w:t>applying own responsibilities in accordance with workplace and emergency procedures</w:t>
            </w:r>
          </w:p>
          <w:p w:rsidR="00000000" w:rsidRPr="00BF1E7E" w:rsidP="00BF1E7E">
            <w:pPr>
              <w:pStyle w:val="ListBullet"/>
            </w:pPr>
            <w:r w:rsidRPr="00BF1E7E">
              <w:t>collecting evidence of:</w:t>
            </w:r>
          </w:p>
          <w:p w:rsidR="00000000" w:rsidRPr="00BF1E7E" w:rsidP="00BF1E7E">
            <w:pPr>
              <w:pStyle w:val="ListBullet2"/>
            </w:pPr>
            <w:r w:rsidRPr="00BF1E7E">
              <w:t xml:space="preserve">incident details </w:t>
            </w:r>
          </w:p>
          <w:p w:rsidR="00000000" w:rsidRPr="00BF1E7E" w:rsidP="00BF1E7E">
            <w:pPr>
              <w:pStyle w:val="ListBullet2"/>
            </w:pPr>
            <w:r w:rsidRPr="00BF1E7E">
              <w:t>load documentation</w:t>
            </w:r>
          </w:p>
          <w:p w:rsidR="00000000" w:rsidRPr="00BF1E7E" w:rsidP="00BF1E7E">
            <w:pPr>
              <w:pStyle w:val="ListBullet2"/>
            </w:pPr>
            <w:r w:rsidRPr="00BF1E7E">
              <w:t>workplace documentation</w:t>
            </w:r>
          </w:p>
          <w:p w:rsidR="00000000" w:rsidRPr="00BF1E7E" w:rsidP="00BF1E7E">
            <w:pPr>
              <w:pStyle w:val="ListBullet"/>
            </w:pPr>
            <w:r w:rsidRPr="00BF1E7E">
              <w:t>identifying and describing an incident clearly</w:t>
            </w:r>
          </w:p>
          <w:p w:rsidR="00000000" w:rsidRPr="00BF1E7E" w:rsidP="00BF1E7E">
            <w:pPr>
              <w:pStyle w:val="ListBullet"/>
            </w:pPr>
            <w:r w:rsidRPr="00BF1E7E">
              <w:t>re-stowing emergency equipment</w:t>
            </w:r>
          </w:p>
          <w:p w:rsidR="00000000" w:rsidRPr="00BF1E7E" w:rsidP="00BF1E7E">
            <w:pPr>
              <w:pStyle w:val="ListBullet"/>
            </w:pPr>
            <w:r w:rsidRPr="00BF1E7E">
              <w:t>selecting and using personal protective equipment (PPE) safely and effectively under emergency conditions</w:t>
            </w:r>
          </w:p>
          <w:p w:rsidR="00000000" w:rsidRPr="00BF1E7E" w:rsidP="00BF1E7E">
            <w:pPr>
              <w:pStyle w:val="ListBullet"/>
            </w:pPr>
            <w:r w:rsidRPr="00BF1E7E">
              <w:t>using effective communication skills during emergencies</w:t>
            </w:r>
          </w:p>
          <w:p w:rsidR="00000000" w:rsidRPr="00BF1E7E" w:rsidP="00BF1E7E">
            <w:pPr>
              <w:pStyle w:val="ListBullet"/>
            </w:pPr>
            <w:r w:rsidRPr="00BF1E7E">
              <w:t>using emergency equipment, including:</w:t>
            </w:r>
          </w:p>
          <w:p w:rsidR="00000000" w:rsidRPr="00BF1E7E" w:rsidP="00BF1E7E">
            <w:pPr>
              <w:pStyle w:val="ListBullet2"/>
            </w:pPr>
            <w:r w:rsidRPr="00BF1E7E">
              <w:t>emergency shutdown controls</w:t>
            </w:r>
          </w:p>
          <w:p w:rsidR="00000000" w:rsidRPr="00BF1E7E" w:rsidP="00BF1E7E">
            <w:pPr>
              <w:pStyle w:val="ListBullet2"/>
            </w:pPr>
            <w:r w:rsidRPr="00BF1E7E">
              <w:t>evacuation controls</w:t>
            </w:r>
          </w:p>
          <w:p w:rsidR="00000000" w:rsidRPr="00BF1E7E" w:rsidP="00BF1E7E">
            <w:pPr>
              <w:pStyle w:val="ListBullet2"/>
            </w:pPr>
            <w:r w:rsidRPr="00BF1E7E">
              <w:t>eye wash equipment and safety showers</w:t>
            </w:r>
          </w:p>
          <w:p w:rsidR="00000000" w:rsidRPr="00BF1E7E" w:rsidP="00BF1E7E">
            <w:pPr>
              <w:pStyle w:val="ListBullet2"/>
            </w:pPr>
            <w:r w:rsidRPr="00BF1E7E">
              <w:t>fire-extinguishers</w:t>
            </w:r>
          </w:p>
          <w:p w:rsidR="00000000" w:rsidRPr="00BF1E7E" w:rsidP="00BF1E7E">
            <w:pPr>
              <w:pStyle w:val="ListBullet2"/>
            </w:pPr>
            <w:r w:rsidRPr="00BF1E7E">
              <w:t>spill control equipment</w:t>
            </w:r>
          </w:p>
          <w:p w:rsidR="00000000" w:rsidRPr="00BF1E7E" w:rsidP="00BF1E7E">
            <w:pPr>
              <w:pStyle w:val="ListBullet"/>
            </w:pPr>
            <w:r w:rsidRPr="00BF1E7E">
              <w:t>using PPE and safety measures, including:</w:t>
            </w:r>
          </w:p>
          <w:p w:rsidR="00000000" w:rsidRPr="00BF1E7E" w:rsidP="00BF1E7E">
            <w:pPr>
              <w:pStyle w:val="ListBullet2"/>
            </w:pPr>
            <w:r w:rsidRPr="00BF1E7E">
              <w:t>chemical resistant gloves</w:t>
            </w:r>
          </w:p>
          <w:p w:rsidR="00000000" w:rsidRPr="00BF1E7E" w:rsidP="00BF1E7E">
            <w:pPr>
              <w:pStyle w:val="ListBullet2"/>
            </w:pPr>
            <w:r w:rsidRPr="00BF1E7E">
              <w:t>evacuation controls</w:t>
            </w:r>
          </w:p>
          <w:p w:rsidR="00000000" w:rsidRPr="00BF1E7E" w:rsidP="00BF1E7E">
            <w:pPr>
              <w:pStyle w:val="ListBullet2"/>
            </w:pPr>
            <w:r w:rsidRPr="00BF1E7E">
              <w:t>high visibility clothing and safety v</w:t>
            </w:r>
            <w:r w:rsidRPr="00BF1E7E">
              <w:t>est</w:t>
            </w:r>
          </w:p>
          <w:p w:rsidR="00000000" w:rsidRPr="00BF1E7E" w:rsidP="00BF1E7E">
            <w:pPr>
              <w:pStyle w:val="ListBullet2"/>
            </w:pPr>
            <w:r w:rsidRPr="00BF1E7E">
              <w:t>intrinsically safe, full cover protective clothing</w:t>
            </w:r>
          </w:p>
          <w:p w:rsidR="00000000" w:rsidRPr="00BF1E7E" w:rsidP="00BF1E7E">
            <w:pPr>
              <w:pStyle w:val="ListBullet2"/>
            </w:pPr>
            <w:r w:rsidRPr="00BF1E7E">
              <w:t>safety glasses</w:t>
            </w:r>
          </w:p>
          <w:p w:rsidR="00000000" w:rsidRPr="00BF1E7E" w:rsidP="00BF1E7E">
            <w:pPr>
              <w:pStyle w:val="ListBullet2"/>
            </w:pPr>
            <w:r w:rsidRPr="00BF1E7E">
              <w:t>safety headwear and footwear</w:t>
            </w:r>
          </w:p>
          <w:p w:rsidR="00000000" w:rsidRPr="00BF1E7E" w:rsidP="00BF1E7E">
            <w:pPr>
              <w:pStyle w:val="ListBullet2"/>
            </w:pPr>
            <w:r w:rsidRPr="00BF1E7E">
              <w:t>two</w:t>
            </w:r>
            <w:r w:rsidRPr="00BF1E7E">
              <w:noBreakHyphen/>
              <w:t>way radio.</w:t>
            </w:r>
          </w:p>
        </w:tc>
      </w:tr>
    </w:tbl>
    <w:p w:rsidR="00000000" w:rsidRPr="00BF1E7E" w:rsidP="00BF1E7E">
      <w:pPr>
        <w:pStyle w:val="NoPaddingFontSize1"/>
      </w:pPr>
    </w:p>
    <w:p w:rsidR="00000000" w:rsidRPr="00BF1E7E" w:rsidP="00BF1E7E">
      <w:pPr>
        <w:pStyle w:val="AllowPageBreak"/>
      </w:pPr>
    </w:p>
    <w:p w:rsidR="00000000" w:rsidRPr="00BF1E7E" w:rsidP="00BF1E7E">
      <w:pPr>
        <w:pStyle w:val="Heading1"/>
      </w:pPr>
      <w:bookmarkStart w:id="3" w:name="O_1195998"/>
      <w:bookmarkEnd w:id="3"/>
      <w:r w:rsidRPr="00BF1E7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1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E7E">
            <w:pPr>
              <w:pStyle w:val="BodyText"/>
              <w:rPr>
                <w:lang w:val="en-NZ"/>
              </w:rPr>
            </w:pPr>
            <w:r w:rsidRPr="00BF1E7E">
              <w:t>E</w:t>
            </w:r>
            <w:r w:rsidRPr="00BF1E7E">
              <w:t>vidence required to demonstrate competence in this unit must be relevant to and satisfy all the requirements of the elements and performance criteria and include knowledge of:</w:t>
            </w:r>
          </w:p>
        </w:tc>
      </w:tr>
      <w:tr w:rsidTr="00BF1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E7E" w:rsidP="00BF1E7E">
            <w:pPr>
              <w:pStyle w:val="ListBullet"/>
            </w:pPr>
            <w:r w:rsidRPr="00BF1E7E">
              <w:t>applicable legislative and workplace procedures and codes</w:t>
            </w:r>
          </w:p>
          <w:p w:rsidR="00000000" w:rsidRPr="00BF1E7E" w:rsidP="00BF1E7E">
            <w:pPr>
              <w:pStyle w:val="ListBullet"/>
            </w:pPr>
            <w:r w:rsidRPr="00BF1E7E">
              <w:t xml:space="preserve">appropriate PPE </w:t>
            </w:r>
          </w:p>
          <w:p w:rsidR="00000000" w:rsidRPr="00BF1E7E" w:rsidP="00BF1E7E">
            <w:pPr>
              <w:pStyle w:val="ListBullet"/>
            </w:pPr>
            <w:r w:rsidRPr="00BF1E7E">
              <w:t>current codes, including:</w:t>
            </w:r>
          </w:p>
          <w:p w:rsidR="00000000" w:rsidRPr="00BF1E7E" w:rsidP="00BF1E7E">
            <w:pPr>
              <w:pStyle w:val="ListBullet2"/>
            </w:pPr>
            <w:r w:rsidRPr="00BF1E7E">
              <w:t>Australian Dangerous Goods (ADG) Code</w:t>
            </w:r>
          </w:p>
          <w:p w:rsidR="00000000" w:rsidRPr="00BF1E7E" w:rsidP="00BF1E7E">
            <w:pPr>
              <w:pStyle w:val="ListBullet2"/>
            </w:pPr>
            <w:r w:rsidRPr="00BF1E7E">
              <w:t>Australian Code for the Transport of Explosives by Road and Rail (AE Code)</w:t>
            </w:r>
          </w:p>
          <w:p w:rsidR="00000000" w:rsidRPr="00BF1E7E" w:rsidP="00BF1E7E">
            <w:pPr>
              <w:pStyle w:val="ListBullet"/>
            </w:pPr>
            <w:r w:rsidRPr="00BF1E7E">
              <w:t>documents and records, including</w:t>
            </w:r>
          </w:p>
          <w:p w:rsidR="00000000" w:rsidRPr="00BF1E7E" w:rsidP="00BF1E7E">
            <w:pPr>
              <w:pStyle w:val="ListBullet2"/>
            </w:pPr>
            <w:r w:rsidRPr="00BF1E7E">
              <w:t>emergency information procedure (EIP)</w:t>
            </w:r>
          </w:p>
          <w:p w:rsidR="00000000" w:rsidRPr="00BF1E7E" w:rsidP="00BF1E7E">
            <w:pPr>
              <w:pStyle w:val="ListBullet2"/>
            </w:pPr>
            <w:r w:rsidRPr="00BF1E7E">
              <w:t>emergency procedures guide (EPG)</w:t>
            </w:r>
          </w:p>
          <w:p w:rsidR="00000000" w:rsidRPr="00BF1E7E" w:rsidP="00BF1E7E">
            <w:pPr>
              <w:pStyle w:val="ListBullet2"/>
            </w:pPr>
            <w:r w:rsidRPr="00BF1E7E">
              <w:t>environmen</w:t>
            </w:r>
            <w:r w:rsidRPr="00BF1E7E">
              <w:t>tal protection legislation and regulations</w:t>
            </w:r>
          </w:p>
          <w:p w:rsidR="00000000" w:rsidRPr="00BF1E7E" w:rsidP="00BF1E7E">
            <w:pPr>
              <w:pStyle w:val="ListBullet2"/>
            </w:pPr>
            <w:r w:rsidRPr="00BF1E7E">
              <w:t xml:space="preserve">fatigue management regulations </w:t>
            </w:r>
          </w:p>
          <w:p w:rsidR="00000000" w:rsidRPr="00BF1E7E" w:rsidP="00BF1E7E">
            <w:pPr>
              <w:pStyle w:val="ListBullet"/>
            </w:pPr>
            <w:r w:rsidRPr="00BF1E7E">
              <w:t>emergency equipment operating characteristics, limitations, hazards, precautions, procedures and general care</w:t>
            </w:r>
          </w:p>
          <w:p w:rsidR="00000000" w:rsidRPr="00BF1E7E" w:rsidP="00BF1E7E">
            <w:pPr>
              <w:pStyle w:val="ListBullet"/>
            </w:pPr>
            <w:r w:rsidRPr="00BF1E7E">
              <w:t>general emergency priorities and strategies</w:t>
            </w:r>
          </w:p>
          <w:p w:rsidR="00000000" w:rsidRPr="00BF1E7E" w:rsidP="00BF1E7E">
            <w:pPr>
              <w:pStyle w:val="ListBullet"/>
            </w:pPr>
            <w:r w:rsidRPr="00BF1E7E">
              <w:t>hazard analysis techniques</w:t>
            </w:r>
          </w:p>
          <w:p w:rsidR="00000000" w:rsidRPr="00BF1E7E" w:rsidP="00BF1E7E">
            <w:pPr>
              <w:pStyle w:val="ListBullet"/>
            </w:pPr>
            <w:r w:rsidRPr="00BF1E7E">
              <w:t>hazards and precautions necessary during control activities</w:t>
            </w:r>
          </w:p>
          <w:p w:rsidR="00000000" w:rsidRPr="00BF1E7E" w:rsidP="00BF1E7E">
            <w:pPr>
              <w:pStyle w:val="ListBullet"/>
            </w:pPr>
            <w:r w:rsidRPr="00BF1E7E">
              <w:t>survival, rescue and recovery procedures</w:t>
            </w:r>
          </w:p>
          <w:p w:rsidR="00000000" w:rsidRPr="00BF1E7E" w:rsidP="00BF1E7E">
            <w:pPr>
              <w:pStyle w:val="ListBullet"/>
            </w:pPr>
            <w:r w:rsidRPr="00BF1E7E">
              <w:t>tactics for safely handling emergencies involving dangerous goods including:</w:t>
            </w:r>
          </w:p>
          <w:p w:rsidR="00000000" w:rsidRPr="00BF1E7E" w:rsidP="00BF1E7E">
            <w:pPr>
              <w:pStyle w:val="ListBullet2"/>
            </w:pPr>
            <w:r w:rsidRPr="00BF1E7E">
              <w:t>transport emergency response plan (TERP)</w:t>
            </w:r>
          </w:p>
          <w:p w:rsidR="00000000" w:rsidRPr="00BF1E7E" w:rsidP="00BF1E7E">
            <w:pPr>
              <w:pStyle w:val="ListBullet2"/>
            </w:pPr>
            <w:r w:rsidRPr="00BF1E7E">
              <w:t>transport regulations as they apply to the enterprise, including local authority regulations and procedures</w:t>
            </w:r>
          </w:p>
          <w:p w:rsidR="00000000" w:rsidRPr="00BF1E7E" w:rsidP="00BF1E7E">
            <w:pPr>
              <w:pStyle w:val="ListBullet2"/>
            </w:pPr>
            <w:r w:rsidRPr="00BF1E7E">
              <w:t>work health and safety (WHS)/occupational health and safety (OHS) legislation</w:t>
            </w:r>
          </w:p>
          <w:p w:rsidR="00000000" w:rsidRPr="00BF1E7E" w:rsidP="00BF1E7E">
            <w:pPr>
              <w:pStyle w:val="ListBullet2"/>
            </w:pPr>
            <w:r w:rsidRPr="00BF1E7E">
              <w:t>workplace policies and procedures</w:t>
            </w:r>
          </w:p>
          <w:p w:rsidR="00000000" w:rsidRPr="00BF1E7E" w:rsidP="00BF1E7E">
            <w:pPr>
              <w:pStyle w:val="ListBullet"/>
            </w:pPr>
            <w:r w:rsidRPr="00BF1E7E">
              <w:t>workplace emergency procedures, inc</w:t>
            </w:r>
            <w:r w:rsidRPr="00BF1E7E">
              <w:t>luding:</w:t>
            </w:r>
          </w:p>
          <w:p w:rsidR="00000000" w:rsidRPr="00BF1E7E" w:rsidP="00BF1E7E">
            <w:pPr>
              <w:pStyle w:val="ListBullet2"/>
            </w:pPr>
            <w:r w:rsidRPr="00BF1E7E">
              <w:t>relevant Australian Standards and certification requirements</w:t>
            </w:r>
          </w:p>
          <w:p w:rsidR="00000000" w:rsidRPr="00BF1E7E" w:rsidP="00BF1E7E">
            <w:pPr>
              <w:pStyle w:val="ListBullet2"/>
            </w:pPr>
            <w:r w:rsidRPr="00BF1E7E">
              <w:t>relevant internal data entry books, including logbooks, data sheets and load sheets</w:t>
            </w:r>
          </w:p>
          <w:p w:rsidR="00000000" w:rsidRPr="00BF1E7E" w:rsidP="00BF1E7E">
            <w:pPr>
              <w:pStyle w:val="ListBullet2"/>
            </w:pPr>
            <w:r w:rsidRPr="00BF1E7E">
              <w:t>relevant state and/or territory road rules and roads and traffic authority driving regulations and lic</w:t>
            </w:r>
            <w:r w:rsidRPr="00BF1E7E">
              <w:t>ence or permit requirements for operating heavy vehicles on unsealed roads</w:t>
            </w:r>
          </w:p>
          <w:p w:rsidR="00000000" w:rsidRPr="00BF1E7E" w:rsidP="00BF1E7E">
            <w:pPr>
              <w:pStyle w:val="ListBullet2"/>
            </w:pPr>
            <w:r w:rsidRPr="00BF1E7E">
              <w:t>workplace operating procedures.</w:t>
            </w:r>
          </w:p>
        </w:tc>
      </w:tr>
    </w:tbl>
    <w:p w:rsidR="00000000" w:rsidRPr="00BF1E7E" w:rsidP="00BF1E7E">
      <w:pPr>
        <w:pStyle w:val="NoPaddingFontSize1"/>
      </w:pPr>
    </w:p>
    <w:p w:rsidR="00000000" w:rsidRPr="00BF1E7E" w:rsidP="00BF1E7E">
      <w:pPr>
        <w:pStyle w:val="AllowPageBreak"/>
      </w:pPr>
    </w:p>
    <w:p w:rsidR="00000000" w:rsidRPr="00BF1E7E" w:rsidP="00BF1E7E">
      <w:pPr>
        <w:pStyle w:val="Heading1"/>
      </w:pPr>
      <w:bookmarkStart w:id="4" w:name="O_1195997"/>
      <w:bookmarkEnd w:id="4"/>
      <w:r w:rsidRPr="00BF1E7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1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E7E" w:rsidP="00BF1E7E">
            <w:pPr>
              <w:pStyle w:val="BodyText"/>
            </w:pPr>
            <w:r w:rsidRPr="00BF1E7E">
              <w:t>Assessors must hold credentials specified within the Standards for Registered Training Orga</w:t>
            </w:r>
            <w:r w:rsidRPr="00BF1E7E">
              <w:t xml:space="preserve">nisations current at the time of assessment. </w:t>
            </w:r>
          </w:p>
          <w:p w:rsidR="00000000" w:rsidRPr="00BF1E7E" w:rsidP="00BF1E7E">
            <w:pPr>
              <w:pStyle w:val="BodyText"/>
            </w:pPr>
            <w:r w:rsidRPr="00BF1E7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F1E7E" w:rsidP="00BF1E7E">
            <w:pPr>
              <w:pStyle w:val="BodyText"/>
            </w:pPr>
            <w:r w:rsidRPr="00BF1E7E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BF1E7E" w:rsidP="00BF1E7E">
            <w:pPr>
              <w:pStyle w:val="BodyText"/>
            </w:pPr>
            <w:r w:rsidRPr="00BF1E7E">
              <w:t>Assessment processes and tec</w:t>
            </w:r>
            <w:r w:rsidRPr="00BF1E7E">
              <w:t>hniques must be appropriate to the language, literacy and numeracy requirements of the work being performed and the needs of the candidate.</w:t>
            </w:r>
          </w:p>
          <w:p w:rsidR="00000000" w:rsidRPr="00BF1E7E" w:rsidP="00BF1E7E">
            <w:pPr>
              <w:pStyle w:val="BodyText"/>
            </w:pPr>
            <w:r w:rsidRPr="00BF1E7E">
              <w:t>Resources for assessment must include access to:</w:t>
            </w:r>
          </w:p>
          <w:p w:rsidR="00000000" w:rsidRPr="00BF1E7E" w:rsidP="00BF1E7E">
            <w:pPr>
              <w:pStyle w:val="ListBullet"/>
            </w:pPr>
            <w:r w:rsidRPr="00BF1E7E">
              <w:t>a range of relevant exercises, case studies and/or simulations</w:t>
            </w:r>
          </w:p>
          <w:p w:rsidR="00000000" w:rsidRPr="00BF1E7E" w:rsidP="00BF1E7E">
            <w:pPr>
              <w:pStyle w:val="ListBullet"/>
            </w:pPr>
            <w:r w:rsidRPr="00BF1E7E">
              <w:t>rel</w:t>
            </w:r>
            <w:r w:rsidRPr="00BF1E7E">
              <w:t>evant and appropriate materials, tools, equipment and PPE currently used in industry</w:t>
            </w:r>
          </w:p>
          <w:p w:rsidR="00000000" w:rsidRPr="00BF1E7E" w:rsidP="00BF1E7E">
            <w:pPr>
              <w:pStyle w:val="ListBullet"/>
            </w:pPr>
            <w:r w:rsidRPr="00BF1E7E">
              <w:t>applicable documentation, including legislation, regulations, TERP, codes of practice, workplace procedures and operation manuals.</w:t>
            </w:r>
          </w:p>
        </w:tc>
      </w:tr>
    </w:tbl>
    <w:p w:rsidR="00000000" w:rsidRPr="00BF1E7E" w:rsidP="00BF1E7E">
      <w:pPr>
        <w:pStyle w:val="NoPaddingFontSize1"/>
      </w:pPr>
    </w:p>
    <w:p w:rsidR="00000000" w:rsidRPr="00BF1E7E" w:rsidP="00BF1E7E">
      <w:pPr>
        <w:pStyle w:val="AllowPageBreak"/>
      </w:pPr>
    </w:p>
    <w:p w:rsidR="00000000" w:rsidRPr="00BF1E7E" w:rsidP="00BF1E7E">
      <w:pPr>
        <w:pStyle w:val="Heading1"/>
      </w:pPr>
      <w:bookmarkStart w:id="5" w:name="O_1196012"/>
      <w:bookmarkEnd w:id="5"/>
      <w:r w:rsidRPr="00BF1E7E">
        <w:t>Links</w:t>
      </w:r>
    </w:p>
    <w:p w:rsidR="00000000" w:rsidRPr="00BF1E7E" w:rsidP="00EF632A">
      <w:pPr>
        <w:pStyle w:val="BodyText"/>
      </w:pPr>
      <w:r w:rsidRPr="00BF1E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F60A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F1E7E" w:rsidP="00BF1E7E"/>
    <w:sectPr w:rsidSect="00BF1E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E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E7E" w:rsidRPr="00EF632A" w:rsidP="00EF63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E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32A" w:rsidP="00BF1E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632A" w:rsidP="00BF1E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F632A" w:rsidP="00BF1E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E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3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E7E" w:rsidRPr="00EF632A" w:rsidP="00EF63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E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32A" w:rsidRPr="002D2AF8" w:rsidP="00BF1E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TLIF3096 Carry out emergency response to a dangerous goods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F632A" w:rsidP="00BF1E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E8A0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084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8817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E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E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E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E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E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E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E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E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E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E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E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E7E"/>
  </w:style>
  <w:style w:type="character" w:customStyle="1" w:styleId="Heading1Char">
    <w:name w:val="Heading 1 Char"/>
    <w:basedOn w:val="DefaultParagraphFont"/>
    <w:link w:val="Heading1"/>
    <w:rsid w:val="00BF1E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E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E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1E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1E7E"/>
    <w:rPr>
      <w:b/>
      <w:spacing w:val="0"/>
    </w:rPr>
  </w:style>
  <w:style w:type="paragraph" w:styleId="ListBullet2">
    <w:name w:val="List Bullet 2"/>
    <w:basedOn w:val="List2"/>
    <w:rsid w:val="00BF1E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1E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E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1E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E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E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E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E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E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E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E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E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E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E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E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E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E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1E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1E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1E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E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E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1E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E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E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E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E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E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E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E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E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1E7E"/>
    <w:rPr>
      <w:i/>
    </w:rPr>
  </w:style>
  <w:style w:type="paragraph" w:styleId="Caption">
    <w:name w:val="caption"/>
    <w:basedOn w:val="BodyText"/>
    <w:next w:val="Normal"/>
    <w:qFormat/>
    <w:rsid w:val="00BF1E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E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E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E7E"/>
  </w:style>
  <w:style w:type="paragraph" w:styleId="TableofFigures">
    <w:name w:val="table of figures"/>
    <w:basedOn w:val="Normal"/>
    <w:next w:val="Normal"/>
    <w:semiHidden/>
    <w:rsid w:val="00BF1E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E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1E7E"/>
    <w:rPr>
      <w:rFonts w:ascii="Wingdings" w:hAnsi="Wingdings"/>
    </w:rPr>
  </w:style>
  <w:style w:type="paragraph" w:customStyle="1" w:styleId="TableHeading">
    <w:name w:val="Table Heading"/>
    <w:basedOn w:val="HeadingBase"/>
    <w:rsid w:val="00BF1E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E7E"/>
    <w:rPr>
      <w:color w:val="0033CC"/>
      <w:u w:val="none"/>
    </w:rPr>
  </w:style>
  <w:style w:type="paragraph" w:customStyle="1" w:styleId="BodyTextRight">
    <w:name w:val="Body Text Right"/>
    <w:basedOn w:val="BodyText"/>
    <w:rsid w:val="00BF1E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E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E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E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E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E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E7E"/>
    <w:rPr>
      <w:sz w:val="32"/>
    </w:rPr>
  </w:style>
  <w:style w:type="paragraph" w:customStyle="1" w:styleId="HeadingProcedure">
    <w:name w:val="Heading Procedure"/>
    <w:basedOn w:val="HeadingBase"/>
    <w:next w:val="Normal"/>
    <w:rsid w:val="00BF1E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E7E"/>
    <w:pPr>
      <w:spacing w:before="60" w:after="60"/>
    </w:pPr>
  </w:style>
  <w:style w:type="paragraph" w:styleId="ListContinue">
    <w:name w:val="List Continue"/>
    <w:basedOn w:val="List"/>
    <w:rsid w:val="00BF1E7E"/>
    <w:pPr>
      <w:ind w:firstLine="0"/>
    </w:pPr>
  </w:style>
  <w:style w:type="paragraph" w:customStyle="1" w:styleId="ListNote">
    <w:name w:val="List Note"/>
    <w:basedOn w:val="List"/>
    <w:rsid w:val="00BF1E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E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E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E7E"/>
    <w:rPr>
      <w:rFonts w:ascii="Courier New" w:hAnsi="Courier New"/>
    </w:rPr>
  </w:style>
  <w:style w:type="paragraph" w:customStyle="1" w:styleId="NoteBullet">
    <w:name w:val="Note Bullet"/>
    <w:basedOn w:val="Note"/>
    <w:rsid w:val="00BF1E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E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E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E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E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1E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E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E7E"/>
    <w:rPr>
      <w:b/>
      <w:smallCaps/>
    </w:rPr>
  </w:style>
  <w:style w:type="paragraph" w:customStyle="1" w:styleId="TableListNumber">
    <w:name w:val="Table List Number"/>
    <w:basedOn w:val="ListNumber"/>
    <w:rsid w:val="00BF1E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E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E7E"/>
    <w:pPr>
      <w:numPr>
        <w:numId w:val="9"/>
      </w:numPr>
    </w:pPr>
  </w:style>
  <w:style w:type="paragraph" w:customStyle="1" w:styleId="ListAlpha2">
    <w:name w:val="List Alpha 2"/>
    <w:basedOn w:val="List2"/>
    <w:rsid w:val="00BF1E7E"/>
    <w:pPr>
      <w:numPr>
        <w:numId w:val="8"/>
      </w:numPr>
    </w:pPr>
  </w:style>
  <w:style w:type="paragraph" w:styleId="List2">
    <w:name w:val="List 2"/>
    <w:basedOn w:val="BodyText"/>
    <w:rsid w:val="00BF1E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E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E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E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E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E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1E7E"/>
    <w:pPr>
      <w:numPr>
        <w:numId w:val="4"/>
      </w:numPr>
    </w:pPr>
  </w:style>
  <w:style w:type="paragraph" w:styleId="ListContinue2">
    <w:name w:val="List Continue 2"/>
    <w:basedOn w:val="List2"/>
    <w:rsid w:val="00BF1E7E"/>
    <w:pPr>
      <w:ind w:firstLine="0"/>
    </w:pPr>
  </w:style>
  <w:style w:type="paragraph" w:styleId="ListContinue3">
    <w:name w:val="List Continue 3"/>
    <w:basedOn w:val="List3"/>
    <w:rsid w:val="00BF1E7E"/>
    <w:pPr>
      <w:ind w:left="1021" w:firstLine="0"/>
    </w:pPr>
  </w:style>
  <w:style w:type="paragraph" w:styleId="ListContinue4">
    <w:name w:val="List Continue 4"/>
    <w:basedOn w:val="List4"/>
    <w:rsid w:val="00BF1E7E"/>
    <w:pPr>
      <w:ind w:firstLine="0"/>
    </w:pPr>
  </w:style>
  <w:style w:type="paragraph" w:styleId="ListContinue5">
    <w:name w:val="List Continue 5"/>
    <w:basedOn w:val="List5"/>
    <w:rsid w:val="00BF1E7E"/>
    <w:pPr>
      <w:ind w:firstLine="0"/>
    </w:pPr>
  </w:style>
  <w:style w:type="paragraph" w:styleId="ListNumber3">
    <w:name w:val="List Number 3"/>
    <w:basedOn w:val="List3"/>
    <w:rsid w:val="00BF1E7E"/>
    <w:pPr>
      <w:numPr>
        <w:numId w:val="5"/>
      </w:numPr>
    </w:pPr>
  </w:style>
  <w:style w:type="paragraph" w:styleId="ListNumber4">
    <w:name w:val="List Number 4"/>
    <w:basedOn w:val="List4"/>
    <w:rsid w:val="00BF1E7E"/>
    <w:pPr>
      <w:numPr>
        <w:numId w:val="6"/>
      </w:numPr>
    </w:pPr>
  </w:style>
  <w:style w:type="paragraph" w:styleId="ListNumber5">
    <w:name w:val="List Number 5"/>
    <w:basedOn w:val="List5"/>
    <w:rsid w:val="00BF1E7E"/>
    <w:pPr>
      <w:numPr>
        <w:numId w:val="7"/>
      </w:numPr>
    </w:pPr>
  </w:style>
  <w:style w:type="paragraph" w:styleId="BlockText">
    <w:name w:val="Block Text"/>
    <w:basedOn w:val="Normal"/>
    <w:rsid w:val="00BF1E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E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E7E"/>
    <w:rPr>
      <w:sz w:val="16"/>
      <w:vertAlign w:val="superscript"/>
    </w:rPr>
  </w:style>
  <w:style w:type="character" w:customStyle="1" w:styleId="Symbols">
    <w:name w:val="Symbols"/>
    <w:basedOn w:val="DefaultParagraphFont"/>
    <w:rsid w:val="00BF1E7E"/>
    <w:rPr>
      <w:rFonts w:ascii="Symbol" w:hAnsi="Symbol"/>
    </w:rPr>
  </w:style>
  <w:style w:type="character" w:customStyle="1" w:styleId="MenuOptions">
    <w:name w:val="Menu Options"/>
    <w:basedOn w:val="DefaultParagraphFont"/>
    <w:rsid w:val="00BF1E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E7E"/>
    <w:rPr>
      <w:b/>
    </w:rPr>
  </w:style>
  <w:style w:type="character" w:customStyle="1" w:styleId="Underlined">
    <w:name w:val="Underlined"/>
    <w:basedOn w:val="DefaultParagraphFont"/>
    <w:rsid w:val="00BF1E7E"/>
    <w:rPr>
      <w:u w:val="single"/>
    </w:rPr>
  </w:style>
  <w:style w:type="paragraph" w:customStyle="1" w:styleId="TableBodyTextRight">
    <w:name w:val="Table Body Text Right"/>
    <w:basedOn w:val="TableBodyText"/>
    <w:rsid w:val="00BF1E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E7E"/>
    <w:rPr>
      <w:sz w:val="18"/>
    </w:rPr>
  </w:style>
  <w:style w:type="paragraph" w:customStyle="1" w:styleId="BodySmallRight">
    <w:name w:val="Body Small Right"/>
    <w:basedOn w:val="BodyTextRight"/>
    <w:rsid w:val="00BF1E7E"/>
    <w:rPr>
      <w:sz w:val="18"/>
      <w:szCs w:val="18"/>
    </w:rPr>
  </w:style>
  <w:style w:type="paragraph" w:customStyle="1" w:styleId="MarginEdition">
    <w:name w:val="Margin Edition"/>
    <w:basedOn w:val="MarginNote"/>
    <w:rsid w:val="00BF1E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E7E"/>
    <w:rPr>
      <w:sz w:val="2"/>
      <w:szCs w:val="2"/>
    </w:rPr>
  </w:style>
  <w:style w:type="character" w:customStyle="1" w:styleId="Small">
    <w:name w:val="Small"/>
    <w:basedOn w:val="DefaultParagraphFont"/>
    <w:rsid w:val="00BF1E7E"/>
    <w:rPr>
      <w:sz w:val="16"/>
    </w:rPr>
  </w:style>
  <w:style w:type="paragraph" w:customStyle="1" w:styleId="WideTable">
    <w:name w:val="Wide Table"/>
    <w:basedOn w:val="Normal"/>
    <w:rsid w:val="00BF1E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E7E"/>
  </w:style>
  <w:style w:type="paragraph" w:styleId="Quote">
    <w:name w:val="Quote"/>
    <w:basedOn w:val="Heading1"/>
    <w:link w:val="QuoteChar"/>
    <w:qFormat/>
    <w:rsid w:val="00BF1E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E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E7E"/>
    <w:pPr>
      <w:pageBreakBefore/>
    </w:pPr>
  </w:style>
  <w:style w:type="paragraph" w:customStyle="1" w:styleId="Border">
    <w:name w:val="Border"/>
    <w:basedOn w:val="Normal"/>
    <w:qFormat/>
    <w:rsid w:val="00BF1E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E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E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E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E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E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E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E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E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E7E"/>
    <w:rPr>
      <w:u w:val="single"/>
    </w:rPr>
  </w:style>
  <w:style w:type="character" w:customStyle="1" w:styleId="BoldandItalics">
    <w:name w:val="Bold and Italics"/>
    <w:qFormat/>
    <w:rsid w:val="00BF1E7E"/>
    <w:rPr>
      <w:b/>
      <w:i/>
      <w:u w:val="none"/>
    </w:rPr>
  </w:style>
  <w:style w:type="paragraph" w:styleId="BalloonText">
    <w:name w:val="Balloon Text"/>
    <w:basedOn w:val="Normal"/>
    <w:link w:val="BalloonTextChar"/>
    <w:rsid w:val="00BF1E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E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E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E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E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E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E7E"/>
    <w:pPr>
      <w:spacing w:before="0" w:after="0"/>
    </w:pPr>
  </w:style>
  <w:style w:type="paragraph" w:customStyle="1" w:styleId="BodyTextBold">
    <w:name w:val="Body Text Bold"/>
    <w:basedOn w:val="BodyText"/>
    <w:qFormat/>
    <w:rsid w:val="00BF1E7E"/>
    <w:rPr>
      <w:b/>
    </w:rPr>
  </w:style>
  <w:style w:type="character" w:styleId="Hyperlink">
    <w:name w:val="Hyperlink"/>
    <w:basedOn w:val="DefaultParagraphFont"/>
    <w:uiPriority w:val="99"/>
    <w:unhideWhenUsed/>
    <w:rsid w:val="00EF63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4121</Characters>
  <Application>Microsoft Office Word</Application>
  <DocSecurity>0</DocSecurity>
  <Lines>105</Lines>
  <Paragraphs>85</Paragraphs>
  <ScaleCrop>false</ScaleCrop>
  <Company>Author-it Software Corporation Ltd.</Company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TLIF3096 Carry out emergency response to a dangerous goods incident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2024-07-12T08:01:00Z</dcterms:created>
  <dcterms:modified xsi:type="dcterms:W3CDTF">2024-07-12T08:01:00Z</dcterms:modified>
</cp:coreProperties>
</file>