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54DC" w:rsidP="004B54DC">
      <w:pPr>
        <w:pStyle w:val="Title"/>
      </w:pPr>
      <w:r>
        <w:fldChar w:fldCharType="begin"/>
      </w:r>
      <w:r>
        <w:instrText xml:space="preserve"> TITLE   \* MERGEFORMAT </w:instrText>
      </w:r>
      <w:r>
        <w:fldChar w:fldCharType="separate"/>
      </w:r>
      <w:r>
        <w:t>TLIF3087 Follow work health and safety, and environmental procedures in the rail industry</w:t>
      </w:r>
      <w:r>
        <w:fldChar w:fldCharType="end"/>
      </w:r>
    </w:p>
    <w:p w:rsidR="004B54DC" w:rsidP="004B54DC">
      <w:pPr>
        <w:pStyle w:val="Version"/>
        <w:sectPr w:rsidSect="00AF4B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4B94" w:rsidP="00AF4B94">
      <w:pPr>
        <w:pStyle w:val="SuperHeading"/>
      </w:pPr>
      <w:r w:rsidRPr="00AF4B94">
        <w:t>TLIF3087 Follow work health and safety, and environmental procedures in the rail industry</w:t>
      </w:r>
    </w:p>
    <w:p w:rsidR="00000000" w:rsidRPr="00AF4B94" w:rsidP="00AF4B94">
      <w:pPr>
        <w:pStyle w:val="Heading1"/>
      </w:pPr>
      <w:bookmarkStart w:id="1" w:name="O_1091269"/>
      <w:bookmarkEnd w:id="1"/>
      <w:r w:rsidRPr="00AF4B94">
        <w:t>Modification History</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Release 2</w:t>
            </w:r>
            <w:r w:rsidRPr="00AF4B94">
              <w:t>. This is the second release of this unit of competency in the TLI Transport and Logistics Training Package:</w:t>
            </w:r>
          </w:p>
          <w:p w:rsidR="00000000" w:rsidP="00AF4B94">
            <w:pPr>
              <w:pStyle w:val="ListBullet"/>
              <w:rPr>
                <w:lang w:val="en-NZ"/>
              </w:rPr>
            </w:pPr>
            <w:r w:rsidRPr="00AF4B94">
              <w:t>Minor statement changes in Assessment Conditions.</w:t>
            </w:r>
          </w:p>
        </w:tc>
      </w:tr>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Release 1</w:t>
            </w:r>
            <w:r w:rsidRPr="00AF4B94">
              <w:t>. This is the first release of this unit of competency in the TLI Transport and Logistics Training Package.</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2" w:name="O_1091268"/>
      <w:bookmarkEnd w:id="2"/>
      <w:r w:rsidRPr="00AF4B94">
        <w:t>Application</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This unit involves the skills and knowledge required to</w:t>
            </w:r>
            <w:r w:rsidRPr="00AF4B94">
              <w:t xml:space="preserve"> follow and apply work health and safety (WHS)/occupational health and safety (OHS) and environmental procedures when carrying out work activities in the rail industry.</w:t>
            </w:r>
          </w:p>
          <w:p w:rsidR="00000000" w:rsidRPr="00AF4B94" w:rsidP="00AF4B94">
            <w:pPr>
              <w:pStyle w:val="BodyText"/>
            </w:pPr>
            <w:r w:rsidRPr="00AF4B94">
              <w:t>It includes identifying and following workplace procedures for hazard identification an</w:t>
            </w:r>
            <w:r w:rsidRPr="00AF4B94">
              <w:t xml:space="preserve">d risk control, contributing to arrangements for managing WHS/OHS and environmental procedures, and completing appropriate records. </w:t>
            </w:r>
          </w:p>
          <w:p w:rsidR="00000000" w:rsidRPr="00AF4B94" w:rsidP="00AF4B94">
            <w:pPr>
              <w:pStyle w:val="BodyText"/>
            </w:pPr>
            <w:r w:rsidRPr="00AF4B94">
              <w:t>Work is performed under some supervision generally in a team environment. It involves applying established WHS/OHS, environ</w:t>
            </w:r>
            <w:r w:rsidRPr="00AF4B94">
              <w:t>mental and hazard minimisation principles and procedures when conducting workplace activities.</w:t>
            </w:r>
          </w:p>
          <w:p w:rsidR="00000000" w:rsidRPr="00AF4B94" w:rsidP="00AF4B94">
            <w:pPr>
              <w:pStyle w:val="BodyText"/>
            </w:pPr>
            <w:r w:rsidRPr="00AF4B94">
              <w:t>No licensing, legislative or certification requirements apply to this unit at the time of publication.</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3" w:name="O_1091267"/>
      <w:bookmarkEnd w:id="3"/>
      <w:r w:rsidRPr="00AF4B94">
        <w:t>Pre-requisite Unit</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Not applicable.</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4" w:name="O_1091266"/>
      <w:bookmarkEnd w:id="4"/>
      <w:r w:rsidRPr="00AF4B94">
        <w:t>Competency Field</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F – Safety Management</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5" w:name="O_1091265"/>
      <w:bookmarkEnd w:id="5"/>
      <w:r w:rsidRPr="00AF4B94">
        <w:t>Unit Sector</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Rail sector.</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6" w:name="O_1091264"/>
      <w:bookmarkEnd w:id="6"/>
      <w:r w:rsidRPr="00AF4B94">
        <w:t>Elements and Performance Criteria</w:t>
      </w:r>
    </w:p>
    <w:tbl>
      <w:tblPr>
        <w:tblW w:w="9497" w:type="dxa"/>
        <w:tblLayout w:type="fixed"/>
        <w:tblCellMar>
          <w:left w:w="62" w:type="dxa"/>
          <w:right w:w="62" w:type="dxa"/>
        </w:tblCellMar>
        <w:tblLook w:val="0000"/>
      </w:tblPr>
      <w:tblGrid>
        <w:gridCol w:w="613"/>
        <w:gridCol w:w="3249"/>
        <w:gridCol w:w="1403"/>
        <w:gridCol w:w="4232"/>
      </w:tblGrid>
      <w:tr w:rsidTr="00AF4B94">
        <w:tblPrEx>
          <w:tblW w:w="9497" w:type="dxa"/>
          <w:tblLayout w:type="fixed"/>
          <w:tblCellMar>
            <w:left w:w="62" w:type="dxa"/>
            <w:right w:w="62" w:type="dxa"/>
          </w:tblCellMar>
          <w:tblLook w:val="0000"/>
        </w:tblPrEx>
        <w:tc>
          <w:tcPr>
            <w:tcW w:w="3862" w:type="dxa"/>
            <w:gridSpan w:val="2"/>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ELEMENTS</w:t>
            </w:r>
          </w:p>
        </w:tc>
        <w:tc>
          <w:tcPr>
            <w:tcW w:w="5635" w:type="dxa"/>
            <w:gridSpan w:val="2"/>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PERFORMANCE CRITERIA</w:t>
            </w:r>
          </w:p>
        </w:tc>
      </w:tr>
      <w:tr w:rsidTr="00AF4B94">
        <w:tblPrEx>
          <w:tblW w:w="9497" w:type="dxa"/>
          <w:tblLayout w:type="fixed"/>
          <w:tblCellMar>
            <w:left w:w="62" w:type="dxa"/>
            <w:right w:w="62" w:type="dxa"/>
          </w:tblCellMar>
          <w:tblLook w:val="0000"/>
        </w:tblPrEx>
        <w:tc>
          <w:tcPr>
            <w:tcW w:w="3862" w:type="dxa"/>
            <w:gridSpan w:val="2"/>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Elements describe the essential outcomes.</w:t>
            </w:r>
          </w:p>
        </w:tc>
        <w:tc>
          <w:tcPr>
            <w:tcW w:w="5635" w:type="dxa"/>
            <w:gridSpan w:val="2"/>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Performance criteria describe the performance needed to demonstrate achievement of the element.</w:t>
            </w:r>
          </w:p>
        </w:tc>
      </w:tr>
      <w:tr w:rsidTr="00AF4B94">
        <w:tblPrEx>
          <w:tblW w:w="9497" w:type="dxa"/>
          <w:tblLayout w:type="fixed"/>
          <w:tblCellMar>
            <w:left w:w="62" w:type="dxa"/>
            <w:right w:w="62" w:type="dxa"/>
          </w:tblCellMar>
          <w:tblLook w:val="0000"/>
        </w:tblPrEx>
        <w:tc>
          <w:tcPr>
            <w:tcW w:w="613" w:type="dxa"/>
            <w:vMerge w:val="restart"/>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1</w:t>
            </w:r>
          </w:p>
        </w:tc>
        <w:tc>
          <w:tcPr>
            <w:tcW w:w="3249" w:type="dxa"/>
            <w:vMerge w:val="restart"/>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Follow workplace procedures for hazard identification and risk control</w:t>
            </w: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1.1</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Workplace procedures for dealing with environmental incidents, accidents, fires a</w:t>
            </w:r>
            <w:r w:rsidRPr="00AF4B94">
              <w:t>nd emergencies are identified and followed</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1.2</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Workplace procedures for WHS/OHS, environmental and related work instructions for controlling risks in a workplace are identified and followed</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1.3</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Hazards in the workplace are ident</w:t>
            </w:r>
            <w:r w:rsidRPr="00AF4B94">
              <w:t>ified and appropriate action is taken to report them and to minimise or eliminate risk to personnel, workplace and the environment</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1.4</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Safety regulations and established workplace safety and hazard control practices and procedures are obtained, interpre</w:t>
            </w:r>
            <w:r w:rsidRPr="00AF4B94">
              <w:t>ted and applied to day</w:t>
            </w:r>
            <w:r w:rsidRPr="00AF4B94">
              <w:noBreakHyphen/>
              <w:t>to</w:t>
            </w:r>
            <w:r w:rsidRPr="00AF4B94">
              <w:noBreakHyphen/>
              <w:t>day work activities</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1.5</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Hazard and risk control documentation is completed in accordance with organisational requirements as required</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1.6</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Personal protective equipment (PPE) is correctly used in accordance with established safety practices and procedures as required</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1.7</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Established emergency and contingency plans are followed in an emergency</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1.8</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Information on workplace WHS/OHS and env</w:t>
            </w:r>
            <w:r w:rsidRPr="00AF4B94">
              <w:t>ironmental policies, procedures and programs is stored in a readily accessible location and manner</w:t>
            </w:r>
          </w:p>
        </w:tc>
      </w:tr>
      <w:tr w:rsidTr="00AF4B94">
        <w:tblPrEx>
          <w:tblW w:w="9497" w:type="dxa"/>
          <w:tblLayout w:type="fixed"/>
          <w:tblCellMar>
            <w:left w:w="62" w:type="dxa"/>
            <w:right w:w="62" w:type="dxa"/>
          </w:tblCellMar>
          <w:tblLook w:val="0000"/>
        </w:tblPrEx>
        <w:tc>
          <w:tcPr>
            <w:tcW w:w="613" w:type="dxa"/>
            <w:vMerge w:val="restart"/>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2</w:t>
            </w:r>
          </w:p>
        </w:tc>
        <w:tc>
          <w:tcPr>
            <w:tcW w:w="3249" w:type="dxa"/>
            <w:vMerge w:val="restart"/>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Contribute to arrangements for managing WHS/OHS</w:t>
            </w: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2.1</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WHS/OHS issues and identified safety hazards are raised with designated personnel in accordance with w</w:t>
            </w:r>
            <w:r w:rsidRPr="00AF4B94">
              <w:t>orkplace procedures and relevant WHS/OHS legislation</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2.2</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 xml:space="preserve">Contributions to managing WHS/OHS in the workplace are made in accordance </w:t>
            </w:r>
            <w:r w:rsidRPr="00AF4B94">
              <w:t>with workplace procedures and provisions of relevant legislation</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2.3</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WHS/OHS issues are raised with designate</w:t>
            </w:r>
            <w:r w:rsidRPr="00AF4B94">
              <w:t>d personnel in accordance with workplace procedures and relevant WHS/OHS legislation</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2.4</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Participative arrangements for managing WHS/OHS in the workplace are contributed to within workplace procedures, scope of responsibilities and competencies</w:t>
            </w:r>
          </w:p>
        </w:tc>
      </w:tr>
      <w:tr w:rsidTr="00AF4B94">
        <w:tblPrEx>
          <w:tblW w:w="9497" w:type="dxa"/>
          <w:tblLayout w:type="fixed"/>
          <w:tblCellMar>
            <w:left w:w="62" w:type="dxa"/>
            <w:right w:w="62" w:type="dxa"/>
          </w:tblCellMar>
          <w:tblLook w:val="0000"/>
        </w:tblPrEx>
        <w:tc>
          <w:tcPr>
            <w:tcW w:w="613" w:type="dxa"/>
            <w:vMerge w:val="restart"/>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3</w:t>
            </w:r>
          </w:p>
        </w:tc>
        <w:tc>
          <w:tcPr>
            <w:tcW w:w="3249" w:type="dxa"/>
            <w:vMerge w:val="restart"/>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Implement environmental control procedures</w:t>
            </w: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3.1</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Environmental protection measures are implemented or applied in accordance with organisational policies and procedures</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3.2</w:t>
            </w:r>
          </w:p>
        </w:tc>
        <w:tc>
          <w:tcPr>
            <w:tcW w:w="4232"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Identified improvements to existing procedures are passed on to appropriate personn</w:t>
            </w:r>
            <w:r w:rsidRPr="00AF4B94">
              <w:t>el</w:t>
            </w:r>
          </w:p>
        </w:tc>
      </w:tr>
      <w:tr w:rsidTr="00AF4B94">
        <w:tblPrEx>
          <w:tblW w:w="9497" w:type="dxa"/>
          <w:tblLayout w:type="fixed"/>
          <w:tblCellMar>
            <w:left w:w="62" w:type="dxa"/>
            <w:right w:w="62" w:type="dxa"/>
          </w:tblCellMar>
          <w:tblLook w:val="0000"/>
        </w:tblPrEx>
        <w:tc>
          <w:tcPr>
            <w:tcW w:w="6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249" w:type="dxa"/>
            <w:vMerge/>
            <w:tcBorders>
              <w:top w:val="nil"/>
              <w:left w:val="nil"/>
              <w:bottom w:val="nil"/>
              <w:right w:val="nil"/>
            </w:tcBorders>
            <w:tcMar>
              <w:top w:w="0" w:type="dxa"/>
              <w:left w:w="62" w:type="dxa"/>
              <w:bottom w:w="0" w:type="dxa"/>
              <w:right w:w="62" w:type="dxa"/>
            </w:tcMar>
          </w:tcPr>
          <w:p w:rsidR="00000000" w:rsidRPr="00AF4B94">
            <w:pPr>
              <w:pStyle w:val="BodyText"/>
              <w:keepLines w:val="0"/>
              <w:spacing w:before="0" w:after="0"/>
            </w:pPr>
          </w:p>
        </w:tc>
        <w:tc>
          <w:tcPr>
            <w:tcW w:w="1403"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rPr>
                <w:rStyle w:val="SpecialBold"/>
              </w:rPr>
              <w:t>3.3</w:t>
            </w:r>
          </w:p>
        </w:tc>
        <w:tc>
          <w:tcPr>
            <w:tcW w:w="4232"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WHS/OHS and environmental records and reports are completed in accordance with organisational requirements</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7" w:name="O_1091263"/>
      <w:bookmarkEnd w:id="7"/>
      <w:r w:rsidRPr="00AF4B94">
        <w:t>Foundation Skills</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Foundation skill</w:t>
            </w:r>
            <w:r w:rsidRPr="00AF4B94">
              <w:t>s essential to performance are explicit in the performance criteria of this unit of competency.</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8" w:name="O_1091262"/>
      <w:bookmarkEnd w:id="8"/>
      <w:r w:rsidRPr="00AF4B94">
        <w:t>Range of Conditions</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Range is restricted to essential operating conditions and any other variables essential to the work environment.</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9" w:name="O_1091261"/>
      <w:bookmarkEnd w:id="9"/>
      <w:r w:rsidRPr="00AF4B94">
        <w:t>Unit Mapping Information</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This unit replaces and is equivalent to TLIF3087A Follow occupational health, safety and environmental procedures in the rail industry.</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10" w:name="O_1091270"/>
      <w:bookmarkEnd w:id="10"/>
      <w:r w:rsidRPr="00AF4B94">
        <w:t>Links</w:t>
      </w:r>
    </w:p>
    <w:p w:rsidR="00000000" w:rsidRPr="00AF4B94" w:rsidP="004B54DC">
      <w:pPr>
        <w:pStyle w:val="BodyText"/>
      </w:pPr>
      <w:r w:rsidRPr="00AF4B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841DD">
        <w:rPr>
          <w:rStyle w:val="Hyperlink"/>
        </w:rPr>
        <w:t>https://vetnet.gov.au/Pages/TrainingDocs.aspx?q=df441c6e-213d-43e3-874c-0b3f7036d851</w:t>
      </w:r>
      <w:r>
        <w:fldChar w:fldCharType="end"/>
      </w:r>
    </w:p>
    <w:p w:rsidR="00000000" w:rsidRPr="00AF4B94" w:rsidP="004B54DC">
      <w:pPr>
        <w:pStyle w:val="BodyText"/>
        <w:sectPr w:rsidSect="00AF4B94">
          <w:headerReference w:type="default" r:id="rId10"/>
          <w:footerReference w:type="default" r:id="rId11"/>
          <w:pgSz w:w="11908" w:h="16833"/>
          <w:pgMar w:top="1702" w:right="1418" w:bottom="1702" w:left="1418" w:header="992" w:footer="992" w:gutter="0"/>
          <w:cols w:space="720"/>
          <w:noEndnote/>
          <w:docGrid w:linePitch="299"/>
        </w:sectPr>
      </w:pPr>
    </w:p>
    <w:p w:rsidR="00000000" w:rsidRPr="00AF4B94" w:rsidP="00AF4B94">
      <w:pPr>
        <w:pStyle w:val="SuperHeading"/>
      </w:pPr>
      <w:r w:rsidRPr="00AF4B94">
        <w:t>Assessment Requirements for TLIF3087 Follow work health and saf</w:t>
      </w:r>
      <w:r w:rsidRPr="00AF4B94">
        <w:t>ety, and environmental procedures in the rail industry</w:t>
      </w:r>
    </w:p>
    <w:p w:rsidR="00000000" w:rsidRPr="00AF4B94" w:rsidP="00AF4B94">
      <w:pPr>
        <w:pStyle w:val="Heading1"/>
      </w:pPr>
      <w:bookmarkStart w:id="11" w:name="O_1091259"/>
      <w:bookmarkEnd w:id="11"/>
      <w:r w:rsidRPr="00AF4B94">
        <w:t>Modification History</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Release 2</w:t>
            </w:r>
            <w:r w:rsidRPr="00AF4B94">
              <w:t>. This is the second release of this unit of competency in the TLI Transport and Logistics Training Package:</w:t>
            </w:r>
          </w:p>
          <w:p w:rsidR="00000000" w:rsidP="00AF4B94">
            <w:pPr>
              <w:pStyle w:val="ListBullet"/>
              <w:rPr>
                <w:lang w:val="en-NZ"/>
              </w:rPr>
            </w:pPr>
            <w:r w:rsidRPr="00AF4B94">
              <w:t>Minor statement changes in Assessment Condi</w:t>
            </w:r>
            <w:r w:rsidRPr="00AF4B94">
              <w:t>tions.</w:t>
            </w:r>
          </w:p>
        </w:tc>
      </w:tr>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rPr>
                <w:rStyle w:val="SpecialBold"/>
              </w:rPr>
              <w:t>Release 1</w:t>
            </w:r>
            <w:r w:rsidRPr="00AF4B94">
              <w:t>. This is the first release of this unit of competency in the TLI Transport and Logistics Training Package.</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12" w:name="O_1091258"/>
      <w:bookmarkEnd w:id="12"/>
      <w:r w:rsidRPr="00AF4B94">
        <w:t>Performance Evidence</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rPr>
          <w:trHeight w:val="701"/>
        </w:trPr>
        <w:tc>
          <w:tcPr>
            <w:tcW w:w="9497"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Evidence required to demonstrate competence in this unit must be relevant to and satisfy all of the requirements of the elements and performance criteria on at least one occasion and include:</w:t>
            </w:r>
          </w:p>
        </w:tc>
      </w:tr>
      <w:tr w:rsidTr="00AF4B94">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AF4B94" w:rsidP="00AF4B94">
            <w:pPr>
              <w:pStyle w:val="ListBullet"/>
            </w:pPr>
            <w:r w:rsidRPr="00AF4B94">
              <w:t xml:space="preserve">communicating and consulting effectively with others </w:t>
            </w:r>
          </w:p>
          <w:p w:rsidR="00000000" w:rsidRPr="00AF4B94" w:rsidP="00AF4B94">
            <w:pPr>
              <w:pStyle w:val="ListBullet"/>
            </w:pPr>
            <w:r w:rsidRPr="00AF4B94">
              <w:t>completing relevant documentation in accordance with workplace procedures</w:t>
            </w:r>
          </w:p>
          <w:p w:rsidR="00000000" w:rsidRPr="00AF4B94" w:rsidP="00AF4B94">
            <w:pPr>
              <w:pStyle w:val="ListBullet"/>
            </w:pPr>
            <w:r w:rsidRPr="00AF4B94">
              <w:t xml:space="preserve">identifying job and environmental hazards and taking required action to minimise, control or eliminate identified hazards </w:t>
            </w:r>
          </w:p>
          <w:p w:rsidR="00000000" w:rsidRPr="00AF4B94" w:rsidP="00AF4B94">
            <w:pPr>
              <w:pStyle w:val="ListBullet"/>
            </w:pPr>
            <w:r w:rsidRPr="00AF4B94">
              <w:t>interpreting and following operational instructions and pri</w:t>
            </w:r>
            <w:r w:rsidRPr="00AF4B94">
              <w:t>oritising work</w:t>
            </w:r>
          </w:p>
          <w:p w:rsidR="00000000" w:rsidRPr="00AF4B94" w:rsidP="00AF4B94">
            <w:pPr>
              <w:pStyle w:val="ListBullet"/>
            </w:pPr>
            <w:r w:rsidRPr="00AF4B94">
              <w:t>operating and adapting to differences in equipment in accordance with operational procedures</w:t>
            </w:r>
          </w:p>
          <w:p w:rsidR="00000000" w:rsidRPr="00AF4B94" w:rsidP="00AF4B94">
            <w:pPr>
              <w:pStyle w:val="ListBullet"/>
            </w:pPr>
            <w:r w:rsidRPr="00AF4B94">
              <w:t>reading and interpreting relevant safety</w:t>
            </w:r>
            <w:r w:rsidRPr="00AF4B94">
              <w:noBreakHyphen/>
              <w:t>related information, workplace procedures and codes of practice</w:t>
            </w:r>
          </w:p>
          <w:p w:rsidR="00000000" w:rsidRPr="00AF4B94" w:rsidP="00AF4B94">
            <w:pPr>
              <w:pStyle w:val="ListBullet"/>
            </w:pPr>
            <w:r w:rsidRPr="00AF4B94">
              <w:t>reporting and rectifying faults and malfunc</w:t>
            </w:r>
            <w:r w:rsidRPr="00AF4B94">
              <w:t>tions promptly in accordance with regulatory requirements and workplace procedures</w:t>
            </w:r>
          </w:p>
          <w:p w:rsidR="00000000" w:rsidRPr="00AF4B94" w:rsidP="00AF4B94">
            <w:pPr>
              <w:pStyle w:val="ListBullet"/>
            </w:pPr>
            <w:r w:rsidRPr="00AF4B94">
              <w:t>selecting and using required personal protective equipment (PPE) in accordance with industry and work health and safety (WHS)/occupational health and safety (OHS) regulation</w:t>
            </w:r>
            <w:r w:rsidRPr="00AF4B94">
              <w:t>s</w:t>
            </w:r>
          </w:p>
          <w:p w:rsidR="00000000" w:rsidRPr="00AF4B94" w:rsidP="00AF4B94">
            <w:pPr>
              <w:pStyle w:val="ListBullet"/>
            </w:pPr>
            <w:r w:rsidRPr="00AF4B94">
              <w:t xml:space="preserve">working collaboratively with others </w:t>
            </w:r>
          </w:p>
          <w:p w:rsidR="00000000" w:rsidRPr="00AF4B94" w:rsidP="00AF4B94">
            <w:pPr>
              <w:pStyle w:val="ListBullet"/>
            </w:pPr>
            <w:r w:rsidRPr="00AF4B94">
              <w:t>working systematically with required attention to detail without injury to self or others, or damage to equipment.</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13" w:name="O_1091257"/>
      <w:bookmarkEnd w:id="13"/>
      <w:r w:rsidRPr="00AF4B94">
        <w:t>Knowledge Evidence</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rPr>
          <w:trHeight w:val="646"/>
        </w:trPr>
        <w:tc>
          <w:tcPr>
            <w:tcW w:w="9497" w:type="dxa"/>
            <w:tcBorders>
              <w:top w:val="nil"/>
              <w:left w:val="nil"/>
              <w:bottom w:val="nil"/>
              <w:right w:val="nil"/>
            </w:tcBorders>
            <w:tcMar>
              <w:top w:w="0" w:type="dxa"/>
              <w:left w:w="62" w:type="dxa"/>
              <w:bottom w:w="0" w:type="dxa"/>
              <w:right w:w="62" w:type="dxa"/>
            </w:tcMar>
          </w:tcPr>
          <w:p w:rsidR="00000000" w:rsidP="00AF4B94">
            <w:pPr>
              <w:pStyle w:val="BodyText"/>
              <w:rPr>
                <w:lang w:val="en-NZ"/>
              </w:rPr>
            </w:pPr>
            <w:r w:rsidRPr="00AF4B94">
              <w:t>Evidence required to demonstrate competence in this uni</w:t>
            </w:r>
            <w:r w:rsidRPr="00AF4B94">
              <w:t>t must be relevant to and satisfy all of the requirements of the elements and performance criteria and include knowledge of:</w:t>
            </w:r>
          </w:p>
        </w:tc>
      </w:tr>
      <w:tr w:rsidTr="00AF4B94">
        <w:tblPrEx>
          <w:tblW w:w="9497" w:type="dxa"/>
          <w:tblLayout w:type="fixed"/>
          <w:tblCellMar>
            <w:left w:w="62" w:type="dxa"/>
            <w:right w:w="62" w:type="dxa"/>
          </w:tblCellMar>
          <w:tblLook w:val="0000"/>
        </w:tblPrEx>
        <w:trPr>
          <w:trHeight w:val="1276"/>
        </w:trPr>
        <w:tc>
          <w:tcPr>
            <w:tcW w:w="9497" w:type="dxa"/>
            <w:tcBorders>
              <w:top w:val="nil"/>
              <w:left w:val="nil"/>
              <w:bottom w:val="nil"/>
              <w:right w:val="nil"/>
            </w:tcBorders>
            <w:tcMar>
              <w:top w:w="0" w:type="dxa"/>
              <w:left w:w="62" w:type="dxa"/>
              <w:bottom w:w="0" w:type="dxa"/>
              <w:right w:w="62" w:type="dxa"/>
            </w:tcMar>
          </w:tcPr>
          <w:p w:rsidR="00000000" w:rsidRPr="00AF4B94" w:rsidP="00AF4B94">
            <w:pPr>
              <w:pStyle w:val="ListBullet"/>
            </w:pPr>
            <w:r w:rsidRPr="00AF4B94">
              <w:t>emergency management plan and evacuation procedures</w:t>
            </w:r>
          </w:p>
          <w:p w:rsidR="00000000" w:rsidRPr="00AF4B94" w:rsidP="00AF4B94">
            <w:pPr>
              <w:pStyle w:val="ListBullet"/>
            </w:pPr>
            <w:r w:rsidRPr="00AF4B94">
              <w:t>location and use of safety alarms and emergency communications systems</w:t>
            </w:r>
          </w:p>
          <w:p w:rsidR="00000000" w:rsidRPr="00AF4B94" w:rsidP="00AF4B94">
            <w:pPr>
              <w:pStyle w:val="ListBullet"/>
            </w:pPr>
            <w:r w:rsidRPr="00AF4B94">
              <w:t>releva</w:t>
            </w:r>
            <w:r w:rsidRPr="00AF4B94">
              <w:t>nt environmental protection regulations</w:t>
            </w:r>
          </w:p>
          <w:p w:rsidR="00000000" w:rsidRPr="00AF4B94" w:rsidP="00AF4B94">
            <w:pPr>
              <w:pStyle w:val="ListBullet"/>
            </w:pPr>
            <w:r w:rsidRPr="00AF4B94">
              <w:t>relevant sections of state/territory legislated rail safety requirements, relevant codes of practice and/or guidelines</w:t>
            </w:r>
          </w:p>
          <w:p w:rsidR="00000000" w:rsidRPr="00AF4B94" w:rsidP="00AF4B94">
            <w:pPr>
              <w:pStyle w:val="ListBullet"/>
            </w:pPr>
            <w:r w:rsidRPr="00AF4B94">
              <w:t>relevant WHS/OHS procedures, rail industry standards, rules, codes of practice and guidelines</w:t>
            </w:r>
          </w:p>
          <w:p w:rsidR="00000000" w:rsidRPr="00AF4B94" w:rsidP="00AF4B94">
            <w:pPr>
              <w:pStyle w:val="ListBullet"/>
            </w:pPr>
            <w:r w:rsidRPr="00AF4B94">
              <w:t>reporting procedures for unsafe situations, fire hazards, broken or damaged equipment or fittings, sickness and accidents</w:t>
            </w:r>
          </w:p>
          <w:p w:rsidR="00000000" w:rsidRPr="00AF4B94" w:rsidP="00AF4B94">
            <w:pPr>
              <w:pStyle w:val="ListBullet"/>
            </w:pPr>
            <w:r w:rsidRPr="00AF4B94">
              <w:t>signs and signals used for WHS/OHS warnings</w:t>
            </w:r>
          </w:p>
          <w:p w:rsidR="00000000" w:rsidRPr="00AF4B94" w:rsidP="00AF4B94">
            <w:pPr>
              <w:pStyle w:val="ListBullet"/>
            </w:pPr>
            <w:r w:rsidRPr="00AF4B94">
              <w:t>site layout and obstacles</w:t>
            </w:r>
          </w:p>
          <w:p w:rsidR="00000000" w:rsidRPr="00AF4B94" w:rsidP="00AF4B94">
            <w:pPr>
              <w:pStyle w:val="ListBullet"/>
            </w:pPr>
            <w:r w:rsidRPr="00AF4B94">
              <w:t xml:space="preserve">typical problems that can occur when caring for the environment </w:t>
            </w:r>
            <w:r w:rsidRPr="00AF4B94">
              <w:t>when carrying out work activities in the rail industry</w:t>
            </w:r>
          </w:p>
          <w:p w:rsidR="00000000" w:rsidRPr="00AF4B94" w:rsidP="00AF4B94">
            <w:pPr>
              <w:pStyle w:val="ListBullet"/>
            </w:pPr>
            <w:r w:rsidRPr="00AF4B94">
              <w:t>workplace procedures and guidelines for caring for the environment during workplace operations.</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14" w:name="O_1091256"/>
      <w:bookmarkEnd w:id="14"/>
      <w:r w:rsidRPr="00AF4B94">
        <w:t>Assessment Conditions</w:t>
      </w:r>
    </w:p>
    <w:tbl>
      <w:tblPr>
        <w:tblW w:w="9497" w:type="dxa"/>
        <w:tblLayout w:type="fixed"/>
        <w:tblCellMar>
          <w:left w:w="62" w:type="dxa"/>
          <w:right w:w="62" w:type="dxa"/>
        </w:tblCellMar>
        <w:tblLook w:val="0000"/>
      </w:tblPr>
      <w:tblGrid>
        <w:gridCol w:w="9497"/>
      </w:tblGrid>
      <w:tr w:rsidTr="00AF4B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F4B94" w:rsidP="00AF4B94">
            <w:pPr>
              <w:pStyle w:val="BodyText"/>
            </w:pPr>
            <w:r w:rsidRPr="00AF4B94">
              <w:t xml:space="preserve">Assessors must hold credentials specified within the Standards for Registered Training Organisations current at the time of assessment. </w:t>
            </w:r>
          </w:p>
          <w:p w:rsidR="00000000" w:rsidRPr="00AF4B94" w:rsidP="00AF4B94">
            <w:pPr>
              <w:pStyle w:val="BodyText"/>
            </w:pPr>
            <w:r w:rsidRPr="00AF4B94">
              <w:t>Assessment must satisfy the Principles of Assessment and Rules of Evidence and all regulatory requirements included wit</w:t>
            </w:r>
            <w:r w:rsidRPr="00AF4B94">
              <w:t>hin the Standards for Registered Training Organisations current at the time of assessment.</w:t>
            </w:r>
          </w:p>
          <w:p w:rsidR="00000000" w:rsidRPr="00AF4B94" w:rsidP="00AF4B94">
            <w:pPr>
              <w:pStyle w:val="BodyText"/>
            </w:pPr>
            <w:r w:rsidRPr="00AF4B94">
              <w:t>Assessment must occur in workplace operational situations or, where this is not available, in simulated workplace operational</w:t>
            </w:r>
            <w:r w:rsidRPr="00AF4B94">
              <w:t xml:space="preserve"> situations that replicate rail workplace conditions.</w:t>
            </w:r>
          </w:p>
          <w:p w:rsidR="00000000" w:rsidRPr="00AF4B94" w:rsidP="00AF4B94">
            <w:pPr>
              <w:pStyle w:val="BodyText"/>
            </w:pPr>
            <w:r w:rsidRPr="00AF4B94">
              <w:t>Assessment processes and techniques must be appropriate to the language, literacy and numeracy requirements of the work being performed and the needs of the candidate.</w:t>
            </w:r>
          </w:p>
          <w:p w:rsidR="00000000" w:rsidRPr="00AF4B94" w:rsidP="00AF4B94">
            <w:pPr>
              <w:pStyle w:val="BodyText"/>
            </w:pPr>
            <w:r w:rsidRPr="00AF4B94">
              <w:t>Resources for assessment must incl</w:t>
            </w:r>
            <w:r w:rsidRPr="00AF4B94">
              <w:t>ude:</w:t>
            </w:r>
          </w:p>
          <w:p w:rsidR="00000000" w:rsidRPr="00AF4B94" w:rsidP="00AF4B94">
            <w:pPr>
              <w:pStyle w:val="ListBullet"/>
            </w:pPr>
            <w:r w:rsidRPr="00AF4B94">
              <w:t>a range of relevant exercises, case studies and/or simulations</w:t>
            </w:r>
          </w:p>
          <w:p w:rsidR="00000000" w:rsidRPr="00AF4B94" w:rsidP="00AF4B94">
            <w:pPr>
              <w:pStyle w:val="ListBullet"/>
            </w:pPr>
            <w:r w:rsidRPr="00AF4B94">
              <w:t>relevant and appropriate materials, tools, equipment and PPE currently used in industry</w:t>
            </w:r>
          </w:p>
          <w:p w:rsidR="00000000" w:rsidRPr="00AF4B94" w:rsidP="00AF4B94">
            <w:pPr>
              <w:pStyle w:val="ListBullet"/>
            </w:pPr>
            <w:r w:rsidRPr="00AF4B94">
              <w:t>applicable documentation, including workplace procedures, regulations, codes of practice and operat</w:t>
            </w:r>
            <w:r w:rsidRPr="00AF4B94">
              <w:t>ion manuals.</w:t>
            </w:r>
          </w:p>
        </w:tc>
      </w:tr>
    </w:tbl>
    <w:p w:rsidR="00000000" w:rsidRPr="00AF4B94" w:rsidP="00AF4B94">
      <w:pPr>
        <w:pStyle w:val="NoPaddingFontSize1"/>
      </w:pPr>
    </w:p>
    <w:p w:rsidR="00000000" w:rsidRPr="00AF4B94" w:rsidP="00AF4B94">
      <w:pPr>
        <w:pStyle w:val="AllowPageBreak"/>
      </w:pPr>
    </w:p>
    <w:p w:rsidR="00000000" w:rsidRPr="00AF4B94" w:rsidP="00AF4B94">
      <w:pPr>
        <w:pStyle w:val="Heading1"/>
      </w:pPr>
      <w:bookmarkStart w:id="15" w:name="O_1091271"/>
      <w:bookmarkEnd w:id="15"/>
      <w:r w:rsidRPr="00AF4B94">
        <w:t>Links</w:t>
      </w:r>
    </w:p>
    <w:p w:rsidR="00000000" w:rsidRPr="00AF4B94" w:rsidP="004B54DC">
      <w:pPr>
        <w:pStyle w:val="BodyText"/>
      </w:pPr>
      <w:r w:rsidRPr="00AF4B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F841DD">
        <w:rPr>
          <w:rStyle w:val="Hyperlink"/>
        </w:rPr>
        <w:t>https://vetnet.gov.au/Pages/TrainingDocs.aspx?q=df441c6e-213d-43e3-874c-0b3f7036d851</w:t>
      </w:r>
      <w:r>
        <w:fldChar w:fldCharType="end"/>
      </w:r>
    </w:p>
    <w:p w:rsidR="00000000" w:rsidRPr="00AF4B94" w:rsidP="00AF4B94"/>
    <w:sectPr w:rsidSect="00AF4B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94" w:rsidRPr="004B54DC" w:rsidP="004B54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4DC" w:rsidP="00AF4B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B54DC" w:rsidP="00AF4B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B54DC" w:rsidP="00AF4B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94" w:rsidP="00AF4B94">
    <w:pPr>
      <w:pStyle w:val="Footer"/>
      <w:framePr w:wrap="around"/>
    </w:pPr>
    <w:r>
      <w:fldChar w:fldCharType="begin"/>
    </w:r>
    <w:r>
      <w:instrText xml:space="preserve"> DOCPROPERTY  Subject  \* MERGEFORMAT </w:instrText>
    </w:r>
    <w:r>
      <w:fldChar w:fldCharType="separate"/>
    </w:r>
    <w:r w:rsidR="004B54DC">
      <w:t>Approved</w:t>
    </w:r>
    <w:r w:rsidR="004B54DC">
      <w:fldChar w:fldCharType="end"/>
    </w:r>
    <w:r>
      <w:tab/>
      <w:t xml:space="preserve">Page </w:t>
    </w:r>
    <w:r>
      <w:fldChar w:fldCharType="begin"/>
    </w:r>
    <w:r>
      <w:instrText xml:space="preserve"> PAGE  \* Arabic  \* MERGEFORMAT </w:instrText>
    </w:r>
    <w:r>
      <w:fldChar w:fldCharType="separate"/>
    </w:r>
    <w:r w:rsidR="004B54D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B54DC">
      <w:rPr>
        <w:noProof/>
      </w:rPr>
      <w:t>5</w:t>
    </w:r>
    <w:r>
      <w:rPr>
        <w:noProof/>
      </w:rPr>
      <w:fldChar w:fldCharType="end"/>
    </w:r>
  </w:p>
  <w:p w:rsidR="00AF4B94" w:rsidP="00AF4B94">
    <w:pPr>
      <w:pStyle w:val="Footer"/>
      <w:framePr w:wrap="around"/>
    </w:pPr>
    <w:r>
      <w:t xml:space="preserve">© Commonwealth of Australia, </w:t>
    </w:r>
    <w:r>
      <w:fldChar w:fldCharType="begin"/>
    </w:r>
    <w:r>
      <w:instrText xml:space="preserve"> DATE  \@ "yyyy"  \* MERGEFORMAT </w:instrText>
    </w:r>
    <w:r>
      <w:fldChar w:fldCharType="separate"/>
    </w:r>
    <w:r w:rsidR="004B54DC">
      <w:rPr>
        <w:noProof/>
      </w:rPr>
      <w:t>2025</w:t>
    </w:r>
    <w:r>
      <w:fldChar w:fldCharType="end"/>
    </w:r>
    <w:r>
      <w:tab/>
    </w:r>
    <w:r>
      <w:fldChar w:fldCharType="begin"/>
    </w:r>
    <w:r>
      <w:instrText xml:space="preserve"> DOCPROPERTY  Author  \* MERGEFORMAT </w:instrText>
    </w:r>
    <w:r>
      <w:fldChar w:fldCharType="separate"/>
    </w:r>
    <w:r w:rsidR="004B54DC">
      <w:t>Industry Skills Australia</w:t>
    </w:r>
    <w:r w:rsidR="004B54DC">
      <w:fldChar w:fldCharType="end"/>
    </w:r>
  </w:p>
  <w:p w:rsidR="00AF4B94" w:rsidP="00AF4B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4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4B94" w:rsidRPr="004B54DC" w:rsidP="004B54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4DC" w:rsidRPr="002D2AF8" w:rsidP="00AF4B94">
    <w:pPr>
      <w:pStyle w:val="Header"/>
      <w:framePr w:wrap="around"/>
    </w:pPr>
    <w:r>
      <w:fldChar w:fldCharType="begin"/>
    </w:r>
    <w:r>
      <w:instrText xml:space="preserve"> TITLE   \* MERGEFORMAT </w:instrText>
    </w:r>
    <w:r>
      <w:fldChar w:fldCharType="separate"/>
    </w:r>
    <w:r>
      <w:t>TLIF3087 Follow work health and safety, and environmental procedures in the rail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B54DC" w:rsidP="00AF4B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B94" w:rsidRPr="002D2AF8" w:rsidP="00AF4B94">
    <w:pPr>
      <w:pStyle w:val="Header"/>
      <w:framePr w:wrap="around"/>
    </w:pPr>
    <w:r>
      <w:fldChar w:fldCharType="begin"/>
    </w:r>
    <w:r>
      <w:instrText xml:space="preserve"> TITLE   \* MERGEFORMAT </w:instrText>
    </w:r>
    <w:r>
      <w:fldChar w:fldCharType="separate"/>
    </w:r>
    <w:r w:rsidR="004B54DC">
      <w:t>TLIF3087 Follow work health and safety, and environmental procedures in the rail industry</w:t>
    </w:r>
    <w:r w:rsidR="004B54DC">
      <w:fldChar w:fldCharType="end"/>
    </w:r>
    <w:r>
      <w:tab/>
      <w:t xml:space="preserve">Date this document was generated: </w:t>
    </w:r>
    <w:r>
      <w:fldChar w:fldCharType="begin"/>
    </w:r>
    <w:r>
      <w:instrText xml:space="preserve"> CREATEDATE  \@ "d MMMM yyyy"  \* MERGEFORMAT </w:instrText>
    </w:r>
    <w:r>
      <w:fldChar w:fldCharType="separate"/>
    </w:r>
    <w:r w:rsidR="004B54DC">
      <w:rPr>
        <w:noProof/>
      </w:rPr>
      <w:t>2 March 2025</w:t>
    </w:r>
    <w:r>
      <w:fldChar w:fldCharType="end"/>
    </w:r>
  </w:p>
  <w:p w:rsidR="00AF4B94" w:rsidP="00AF4B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4A16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5D26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4B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4B94"/>
    <w:pPr>
      <w:spacing w:before="360" w:after="60"/>
      <w:outlineLvl w:val="0"/>
    </w:pPr>
    <w:rPr>
      <w:sz w:val="32"/>
    </w:rPr>
  </w:style>
  <w:style w:type="paragraph" w:styleId="Heading2">
    <w:name w:val="heading 2"/>
    <w:basedOn w:val="HeadingBase"/>
    <w:next w:val="BodyText"/>
    <w:link w:val="Heading2Char"/>
    <w:qFormat/>
    <w:rsid w:val="00AF4B94"/>
    <w:pPr>
      <w:keepLines/>
      <w:spacing w:before="240" w:after="120"/>
      <w:outlineLvl w:val="1"/>
    </w:pPr>
    <w:rPr>
      <w:sz w:val="28"/>
      <w:szCs w:val="40"/>
    </w:rPr>
  </w:style>
  <w:style w:type="paragraph" w:styleId="Heading3">
    <w:name w:val="heading 3"/>
    <w:basedOn w:val="HeadingBase"/>
    <w:next w:val="BodyText"/>
    <w:link w:val="Heading3Char"/>
    <w:qFormat/>
    <w:rsid w:val="00AF4B94"/>
    <w:pPr>
      <w:spacing w:before="180" w:after="120"/>
      <w:outlineLvl w:val="2"/>
    </w:pPr>
    <w:rPr>
      <w:spacing w:val="-10"/>
      <w:kern w:val="32"/>
    </w:rPr>
  </w:style>
  <w:style w:type="paragraph" w:styleId="Heading4">
    <w:name w:val="heading 4"/>
    <w:basedOn w:val="HeadingBase"/>
    <w:next w:val="BodyText"/>
    <w:link w:val="Heading4Char"/>
    <w:qFormat/>
    <w:rsid w:val="00AF4B94"/>
    <w:pPr>
      <w:spacing w:before="160" w:after="120"/>
      <w:outlineLvl w:val="3"/>
    </w:pPr>
    <w:rPr>
      <w:sz w:val="22"/>
    </w:rPr>
  </w:style>
  <w:style w:type="paragraph" w:styleId="Heading5">
    <w:name w:val="heading 5"/>
    <w:basedOn w:val="HeadingBase"/>
    <w:next w:val="Normal"/>
    <w:link w:val="Heading5Char"/>
    <w:qFormat/>
    <w:rsid w:val="00AF4B94"/>
    <w:pPr>
      <w:spacing w:before="80"/>
      <w:outlineLvl w:val="4"/>
    </w:pPr>
    <w:rPr>
      <w:color w:val="918585"/>
      <w:sz w:val="20"/>
    </w:rPr>
  </w:style>
  <w:style w:type="paragraph" w:styleId="Heading6">
    <w:name w:val="heading 6"/>
    <w:basedOn w:val="HeadingBase"/>
    <w:next w:val="Normal"/>
    <w:link w:val="Heading6Char"/>
    <w:qFormat/>
    <w:rsid w:val="00AF4B94"/>
    <w:pPr>
      <w:spacing w:before="60"/>
      <w:outlineLvl w:val="5"/>
    </w:pPr>
    <w:rPr>
      <w:color w:val="918585"/>
      <w:sz w:val="20"/>
    </w:rPr>
  </w:style>
  <w:style w:type="paragraph" w:styleId="Heading7">
    <w:name w:val="heading 7"/>
    <w:basedOn w:val="Normal"/>
    <w:next w:val="Normal"/>
    <w:link w:val="Heading7Char"/>
    <w:qFormat/>
    <w:rsid w:val="00AF4B94"/>
    <w:pPr>
      <w:ind w:left="720"/>
      <w:outlineLvl w:val="6"/>
    </w:pPr>
    <w:rPr>
      <w:i/>
    </w:rPr>
  </w:style>
  <w:style w:type="paragraph" w:styleId="Heading8">
    <w:name w:val="heading 8"/>
    <w:basedOn w:val="Normal"/>
    <w:next w:val="Normal"/>
    <w:link w:val="Heading8Char"/>
    <w:qFormat/>
    <w:rsid w:val="00AF4B94"/>
    <w:pPr>
      <w:ind w:left="720"/>
      <w:outlineLvl w:val="7"/>
    </w:pPr>
    <w:rPr>
      <w:i/>
    </w:rPr>
  </w:style>
  <w:style w:type="paragraph" w:styleId="Heading9">
    <w:name w:val="heading 9"/>
    <w:basedOn w:val="Normal"/>
    <w:next w:val="Normal"/>
    <w:link w:val="Heading9Char"/>
    <w:qFormat/>
    <w:rsid w:val="00AF4B94"/>
    <w:pPr>
      <w:ind w:left="720"/>
      <w:outlineLvl w:val="8"/>
    </w:pPr>
    <w:rPr>
      <w:i/>
    </w:rPr>
  </w:style>
  <w:style w:type="character" w:default="1" w:styleId="DefaultParagraphFont">
    <w:name w:val="Default Paragraph Font"/>
    <w:uiPriority w:val="1"/>
    <w:unhideWhenUsed/>
    <w:rsid w:val="00AF4B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4B94"/>
  </w:style>
  <w:style w:type="character" w:customStyle="1" w:styleId="Heading1Char">
    <w:name w:val="Heading 1 Char"/>
    <w:basedOn w:val="DefaultParagraphFont"/>
    <w:link w:val="Heading1"/>
    <w:rsid w:val="00AF4B94"/>
    <w:rPr>
      <w:rFonts w:ascii="Times New Roman" w:eastAsia="Times New Roman" w:hAnsi="Times New Roman" w:cs="Times New Roman"/>
      <w:b/>
      <w:sz w:val="32"/>
      <w:szCs w:val="20"/>
      <w:lang w:eastAsia="en-US"/>
    </w:rPr>
  </w:style>
  <w:style w:type="paragraph" w:styleId="BodyText">
    <w:name w:val="Body Text"/>
    <w:basedOn w:val="Normal"/>
    <w:link w:val="BodyTextChar"/>
    <w:rsid w:val="00AF4B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4B94"/>
    <w:rPr>
      <w:rFonts w:ascii="Times New Roman" w:eastAsia="Times New Roman" w:hAnsi="Times New Roman" w:cs="Times New Roman"/>
      <w:sz w:val="24"/>
      <w:lang w:eastAsia="en-US"/>
    </w:rPr>
  </w:style>
  <w:style w:type="paragraph" w:styleId="ListBullet">
    <w:name w:val="List Bullet"/>
    <w:basedOn w:val="List"/>
    <w:rsid w:val="00AF4B94"/>
    <w:pPr>
      <w:numPr>
        <w:numId w:val="11"/>
      </w:numPr>
      <w:tabs>
        <w:tab w:val="clear" w:pos="340"/>
      </w:tabs>
      <w:spacing w:before="40" w:after="40"/>
    </w:pPr>
  </w:style>
  <w:style w:type="character" w:customStyle="1" w:styleId="SpecialBold">
    <w:name w:val="Special Bold"/>
    <w:basedOn w:val="DefaultParagraphFont"/>
    <w:rsid w:val="00AF4B94"/>
    <w:rPr>
      <w:b/>
      <w:spacing w:val="0"/>
    </w:rPr>
  </w:style>
  <w:style w:type="paragraph" w:customStyle="1" w:styleId="SuperHeading">
    <w:name w:val="SuperHeading"/>
    <w:basedOn w:val="Normal"/>
    <w:rsid w:val="00AF4B94"/>
    <w:pPr>
      <w:spacing w:before="240" w:after="120"/>
      <w:outlineLvl w:val="0"/>
    </w:pPr>
    <w:rPr>
      <w:rFonts w:ascii="Times New Roman" w:hAnsi="Times New Roman"/>
      <w:b/>
      <w:sz w:val="32"/>
    </w:rPr>
  </w:style>
  <w:style w:type="paragraph" w:customStyle="1" w:styleId="AllowPageBreak">
    <w:name w:val="AllowPageBreak"/>
    <w:rsid w:val="00AF4B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F4B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4B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4B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4B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4B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4B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4B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4B94"/>
    <w:rPr>
      <w:rFonts w:ascii="Courier New" w:eastAsia="Times New Roman" w:hAnsi="Courier New" w:cs="Times New Roman"/>
      <w:i/>
      <w:szCs w:val="20"/>
      <w:lang w:eastAsia="en-US"/>
    </w:rPr>
  </w:style>
  <w:style w:type="paragraph" w:customStyle="1" w:styleId="HeadingBase">
    <w:name w:val="Heading Base"/>
    <w:rsid w:val="00AF4B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4B94"/>
    <w:pPr>
      <w:tabs>
        <w:tab w:val="right" w:leader="dot" w:pos="9072"/>
      </w:tabs>
      <w:ind w:left="567"/>
    </w:pPr>
    <w:rPr>
      <w:szCs w:val="22"/>
    </w:rPr>
  </w:style>
  <w:style w:type="paragraph" w:customStyle="1" w:styleId="TOCBase">
    <w:name w:val="TOC Base"/>
    <w:rsid w:val="00AF4B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4B94"/>
    <w:pPr>
      <w:tabs>
        <w:tab w:val="right" w:leader="dot" w:pos="9072"/>
      </w:tabs>
      <w:spacing w:before="40" w:after="40"/>
      <w:ind w:left="284"/>
    </w:pPr>
    <w:rPr>
      <w:rFonts w:ascii="Times New Roman" w:hAnsi="Times New Roman"/>
    </w:rPr>
  </w:style>
  <w:style w:type="paragraph" w:styleId="TOC1">
    <w:name w:val="toc 1"/>
    <w:basedOn w:val="TOCBase"/>
    <w:next w:val="Normal"/>
    <w:rsid w:val="00AF4B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4B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4B94"/>
    <w:rPr>
      <w:rFonts w:ascii="Times New Roman" w:eastAsia="Times New Roman" w:hAnsi="Times New Roman" w:cs="Times New Roman"/>
      <w:sz w:val="16"/>
      <w:lang w:eastAsia="en-US"/>
    </w:rPr>
  </w:style>
  <w:style w:type="paragraph" w:styleId="Title">
    <w:name w:val="Title"/>
    <w:basedOn w:val="HeadingBase"/>
    <w:link w:val="TitleChar"/>
    <w:qFormat/>
    <w:rsid w:val="00AF4B94"/>
    <w:pPr>
      <w:spacing w:before="5040"/>
      <w:jc w:val="center"/>
    </w:pPr>
    <w:rPr>
      <w:sz w:val="48"/>
      <w:szCs w:val="72"/>
      <w:lang w:val="en-US"/>
    </w:rPr>
  </w:style>
  <w:style w:type="character" w:customStyle="1" w:styleId="TitleChar">
    <w:name w:val="Title Char"/>
    <w:basedOn w:val="DefaultParagraphFont"/>
    <w:link w:val="Title"/>
    <w:rsid w:val="00AF4B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4B94"/>
    <w:pPr>
      <w:tabs>
        <w:tab w:val="left" w:pos="3600"/>
        <w:tab w:val="left" w:pos="3958"/>
      </w:tabs>
    </w:pPr>
  </w:style>
  <w:style w:type="paragraph" w:styleId="List">
    <w:name w:val="List"/>
    <w:basedOn w:val="BodyText"/>
    <w:next w:val="BodyText"/>
    <w:rsid w:val="00AF4B94"/>
    <w:pPr>
      <w:tabs>
        <w:tab w:val="left" w:pos="340"/>
      </w:tabs>
      <w:spacing w:before="60" w:after="60"/>
      <w:ind w:left="340" w:hanging="340"/>
    </w:pPr>
  </w:style>
  <w:style w:type="paragraph" w:customStyle="1" w:styleId="Note">
    <w:name w:val="Note"/>
    <w:basedOn w:val="BodyText"/>
    <w:rsid w:val="00AF4B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4B94"/>
    <w:pPr>
      <w:framePr w:wrap="auto" w:hAnchor="text" w:y="6049"/>
    </w:pPr>
    <w:rPr>
      <w:color w:val="000000"/>
      <w:sz w:val="40"/>
    </w:rPr>
  </w:style>
  <w:style w:type="paragraph" w:customStyle="1" w:styleId="TOCTitle">
    <w:name w:val="TOCTitle"/>
    <w:basedOn w:val="Heading1"/>
    <w:rsid w:val="00AF4B94"/>
    <w:pPr>
      <w:spacing w:after="240"/>
      <w:jc w:val="center"/>
      <w:outlineLvl w:val="9"/>
    </w:pPr>
    <w:rPr>
      <w:caps/>
    </w:rPr>
  </w:style>
  <w:style w:type="paragraph" w:customStyle="1" w:styleId="Version">
    <w:name w:val="Version"/>
    <w:rsid w:val="00AF4B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4B94"/>
    <w:pPr>
      <w:numPr>
        <w:numId w:val="12"/>
      </w:numPr>
      <w:tabs>
        <w:tab w:val="clear" w:pos="680"/>
      </w:tabs>
    </w:pPr>
  </w:style>
  <w:style w:type="paragraph" w:styleId="Index1">
    <w:name w:val="index 1"/>
    <w:basedOn w:val="Normal"/>
    <w:next w:val="Normal"/>
    <w:semiHidden/>
    <w:rsid w:val="00AF4B94"/>
    <w:pPr>
      <w:keepNext w:val="0"/>
      <w:tabs>
        <w:tab w:val="right" w:pos="4176"/>
      </w:tabs>
      <w:ind w:left="198" w:hanging="198"/>
    </w:pPr>
    <w:rPr>
      <w:rFonts w:ascii="Garamond" w:hAnsi="Garamond"/>
    </w:rPr>
  </w:style>
  <w:style w:type="paragraph" w:styleId="IndexHeading">
    <w:name w:val="index heading"/>
    <w:basedOn w:val="Normal"/>
    <w:next w:val="Index1"/>
    <w:semiHidden/>
    <w:rsid w:val="00AF4B94"/>
    <w:pPr>
      <w:spacing w:before="120" w:after="120"/>
    </w:pPr>
    <w:rPr>
      <w:rFonts w:ascii="Arial" w:hAnsi="Arial"/>
      <w:b/>
      <w:color w:val="918585"/>
      <w:sz w:val="24"/>
    </w:rPr>
  </w:style>
  <w:style w:type="paragraph" w:styleId="Header">
    <w:name w:val="header"/>
    <w:basedOn w:val="Normal"/>
    <w:link w:val="HeaderChar"/>
    <w:rsid w:val="00AF4B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4B94"/>
    <w:rPr>
      <w:rFonts w:ascii="Times New Roman" w:eastAsia="Times New Roman" w:hAnsi="Times New Roman" w:cs="Times New Roman"/>
      <w:sz w:val="16"/>
      <w:szCs w:val="20"/>
      <w:lang w:val="en-GB" w:eastAsia="en-US"/>
    </w:rPr>
  </w:style>
  <w:style w:type="paragraph" w:customStyle="1" w:styleId="Chapter">
    <w:name w:val="Chapter"/>
    <w:basedOn w:val="Normal"/>
    <w:rsid w:val="00AF4B94"/>
    <w:pPr>
      <w:spacing w:before="240"/>
    </w:pPr>
    <w:rPr>
      <w:rFonts w:ascii="Times New Roman" w:hAnsi="Times New Roman"/>
      <w:smallCaps/>
      <w:spacing w:val="80"/>
      <w:sz w:val="28"/>
    </w:rPr>
  </w:style>
  <w:style w:type="paragraph" w:customStyle="1" w:styleId="InChapter">
    <w:name w:val="InChapter"/>
    <w:basedOn w:val="Heading3"/>
    <w:rsid w:val="00AF4B94"/>
    <w:pPr>
      <w:spacing w:after="240"/>
      <w:outlineLvl w:val="9"/>
    </w:pPr>
    <w:rPr>
      <w:noProof/>
    </w:rPr>
  </w:style>
  <w:style w:type="paragraph" w:styleId="Index2">
    <w:name w:val="index 2"/>
    <w:basedOn w:val="Normal"/>
    <w:next w:val="Normal"/>
    <w:semiHidden/>
    <w:rsid w:val="00AF4B94"/>
    <w:pPr>
      <w:tabs>
        <w:tab w:val="right" w:pos="4176"/>
      </w:tabs>
      <w:ind w:left="568" w:hanging="284"/>
    </w:pPr>
    <w:rPr>
      <w:rFonts w:ascii="Garamond" w:hAnsi="Garamond"/>
    </w:rPr>
  </w:style>
  <w:style w:type="paragraph" w:customStyle="1" w:styleId="Byline">
    <w:name w:val="Byline"/>
    <w:rsid w:val="00AF4B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4B94"/>
    <w:pPr>
      <w:tabs>
        <w:tab w:val="clear" w:pos="3600"/>
        <w:tab w:val="clear" w:pos="3958"/>
      </w:tabs>
      <w:jc w:val="right"/>
    </w:pPr>
  </w:style>
  <w:style w:type="character" w:styleId="Emphasis">
    <w:name w:val="Emphasis"/>
    <w:basedOn w:val="DefaultParagraphFont"/>
    <w:qFormat/>
    <w:rsid w:val="00AF4B94"/>
    <w:rPr>
      <w:i/>
    </w:rPr>
  </w:style>
  <w:style w:type="paragraph" w:styleId="Caption">
    <w:name w:val="caption"/>
    <w:basedOn w:val="BodyText"/>
    <w:next w:val="Normal"/>
    <w:qFormat/>
    <w:rsid w:val="00AF4B94"/>
    <w:pPr>
      <w:framePr w:w="2268" w:hSpace="181" w:vSpace="181" w:wrap="around" w:vAnchor="text" w:hAnchor="page" w:x="1135" w:y="285" w:anchorLock="1"/>
    </w:pPr>
    <w:rPr>
      <w:i/>
    </w:rPr>
  </w:style>
  <w:style w:type="paragraph" w:customStyle="1" w:styleId="MiniTOCTitle">
    <w:name w:val="MiniTOCTitle"/>
    <w:basedOn w:val="Heading4"/>
    <w:rsid w:val="00AF4B94"/>
    <w:pPr>
      <w:spacing w:before="240"/>
      <w:outlineLvl w:val="9"/>
    </w:pPr>
    <w:rPr>
      <w:noProof/>
      <w:sz w:val="24"/>
    </w:rPr>
  </w:style>
  <w:style w:type="paragraph" w:customStyle="1" w:styleId="MiniTOCItem">
    <w:name w:val="MiniTOCItem"/>
    <w:basedOn w:val="ListBullet"/>
    <w:rsid w:val="00AF4B94"/>
    <w:pPr>
      <w:numPr>
        <w:numId w:val="0"/>
      </w:numPr>
      <w:tabs>
        <w:tab w:val="right" w:leader="dot" w:pos="6521"/>
      </w:tabs>
      <w:spacing w:before="0" w:after="0"/>
    </w:pPr>
  </w:style>
  <w:style w:type="paragraph" w:customStyle="1" w:styleId="TOFTitle">
    <w:name w:val="TOFTitle"/>
    <w:basedOn w:val="TOCTitle"/>
    <w:rsid w:val="00AF4B94"/>
  </w:style>
  <w:style w:type="paragraph" w:styleId="TableofFigures">
    <w:name w:val="table of figures"/>
    <w:basedOn w:val="Normal"/>
    <w:next w:val="Normal"/>
    <w:semiHidden/>
    <w:rsid w:val="00AF4B94"/>
    <w:pPr>
      <w:tabs>
        <w:tab w:val="right" w:leader="dot" w:pos="9072"/>
      </w:tabs>
      <w:ind w:left="970" w:hanging="403"/>
    </w:pPr>
    <w:rPr>
      <w:rFonts w:ascii="Times New Roman" w:hAnsi="Times New Roman"/>
      <w:b/>
    </w:rPr>
  </w:style>
  <w:style w:type="paragraph" w:styleId="ListNumber">
    <w:name w:val="List Number"/>
    <w:basedOn w:val="List"/>
    <w:rsid w:val="00AF4B94"/>
    <w:pPr>
      <w:numPr>
        <w:numId w:val="14"/>
      </w:numPr>
      <w:tabs>
        <w:tab w:val="clear" w:pos="340"/>
      </w:tabs>
    </w:pPr>
  </w:style>
  <w:style w:type="character" w:customStyle="1" w:styleId="WingdingSymbols">
    <w:name w:val="Wingding Symbols"/>
    <w:rsid w:val="00AF4B94"/>
    <w:rPr>
      <w:rFonts w:ascii="Wingdings" w:hAnsi="Wingdings"/>
    </w:rPr>
  </w:style>
  <w:style w:type="paragraph" w:customStyle="1" w:styleId="TableHeading">
    <w:name w:val="Table Heading"/>
    <w:basedOn w:val="HeadingBase"/>
    <w:rsid w:val="00AF4B94"/>
    <w:pPr>
      <w:keepLines/>
      <w:pBdr>
        <w:bottom w:val="single" w:sz="6" w:space="1" w:color="918585"/>
      </w:pBdr>
      <w:spacing w:before="240"/>
    </w:pPr>
  </w:style>
  <w:style w:type="character" w:customStyle="1" w:styleId="HotSpot">
    <w:name w:val="HotSpot"/>
    <w:rsid w:val="00AF4B94"/>
    <w:rPr>
      <w:color w:val="0033CC"/>
      <w:u w:val="none"/>
    </w:rPr>
  </w:style>
  <w:style w:type="paragraph" w:customStyle="1" w:styleId="BodyTextRight">
    <w:name w:val="Body Text Right"/>
    <w:basedOn w:val="BodyText"/>
    <w:rsid w:val="00AF4B94"/>
    <w:pPr>
      <w:spacing w:before="0" w:after="0"/>
      <w:jc w:val="right"/>
    </w:pPr>
  </w:style>
  <w:style w:type="paragraph" w:styleId="Index3">
    <w:name w:val="index 3"/>
    <w:basedOn w:val="ListNumber2"/>
    <w:next w:val="Normal"/>
    <w:semiHidden/>
    <w:rsid w:val="00AF4B94"/>
    <w:pPr>
      <w:numPr>
        <w:numId w:val="0"/>
      </w:numPr>
      <w:tabs>
        <w:tab w:val="right" w:leader="dot" w:pos="4176"/>
      </w:tabs>
    </w:pPr>
  </w:style>
  <w:style w:type="paragraph" w:styleId="ListNumber2">
    <w:name w:val="List Number 2"/>
    <w:basedOn w:val="List2"/>
    <w:rsid w:val="00AF4B94"/>
    <w:pPr>
      <w:numPr>
        <w:numId w:val="9"/>
      </w:numPr>
      <w:tabs>
        <w:tab w:val="clear" w:pos="1060"/>
      </w:tabs>
    </w:pPr>
  </w:style>
  <w:style w:type="paragraph" w:customStyle="1" w:styleId="MarginNote">
    <w:name w:val="Margin Note"/>
    <w:basedOn w:val="BodyText"/>
    <w:rsid w:val="00AF4B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4B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4B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4B94"/>
    <w:rPr>
      <w:sz w:val="32"/>
    </w:rPr>
  </w:style>
  <w:style w:type="paragraph" w:customStyle="1" w:styleId="HeadingProcedure">
    <w:name w:val="Heading Procedure"/>
    <w:basedOn w:val="HeadingBase"/>
    <w:next w:val="Normal"/>
    <w:rsid w:val="00AF4B94"/>
    <w:pPr>
      <w:tabs>
        <w:tab w:val="left" w:pos="0"/>
      </w:tabs>
      <w:spacing w:before="120" w:after="60"/>
    </w:pPr>
    <w:rPr>
      <w:i/>
      <w:color w:val="918585"/>
      <w:sz w:val="22"/>
    </w:rPr>
  </w:style>
  <w:style w:type="paragraph" w:customStyle="1" w:styleId="TableBodyText">
    <w:name w:val="Table Body Text"/>
    <w:basedOn w:val="BodyText"/>
    <w:rsid w:val="00AF4B94"/>
    <w:pPr>
      <w:spacing w:before="60" w:after="60"/>
    </w:pPr>
  </w:style>
  <w:style w:type="paragraph" w:styleId="ListContinue">
    <w:name w:val="List Continue"/>
    <w:basedOn w:val="List"/>
    <w:rsid w:val="00AF4B94"/>
    <w:pPr>
      <w:ind w:firstLine="0"/>
    </w:pPr>
  </w:style>
  <w:style w:type="paragraph" w:customStyle="1" w:styleId="ListNote">
    <w:name w:val="List Note"/>
    <w:basedOn w:val="List"/>
    <w:rsid w:val="00AF4B94"/>
    <w:pPr>
      <w:pBdr>
        <w:top w:val="single" w:sz="6" w:space="2" w:color="918585"/>
        <w:bottom w:val="single" w:sz="6" w:space="2" w:color="918585"/>
      </w:pBdr>
      <w:tabs>
        <w:tab w:val="left" w:pos="1021"/>
      </w:tabs>
      <w:ind w:firstLine="0"/>
    </w:pPr>
  </w:style>
  <w:style w:type="paragraph" w:customStyle="1" w:styleId="Warning">
    <w:name w:val="Warning"/>
    <w:basedOn w:val="BodyText"/>
    <w:rsid w:val="00AF4B94"/>
    <w:pPr>
      <w:shd w:val="clear" w:color="auto" w:fill="D9D9D9"/>
      <w:tabs>
        <w:tab w:val="left" w:pos="992"/>
      </w:tabs>
      <w:ind w:left="119" w:right="119"/>
    </w:pPr>
    <w:rPr>
      <w:sz w:val="20"/>
    </w:rPr>
  </w:style>
  <w:style w:type="paragraph" w:customStyle="1" w:styleId="MarginIcons">
    <w:name w:val="Margin Icons"/>
    <w:basedOn w:val="BodyText"/>
    <w:rsid w:val="00AF4B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4B94"/>
    <w:rPr>
      <w:rFonts w:ascii="Courier New" w:hAnsi="Courier New"/>
    </w:rPr>
  </w:style>
  <w:style w:type="paragraph" w:customStyle="1" w:styleId="NoteBullet">
    <w:name w:val="Note Bullet"/>
    <w:basedOn w:val="Note"/>
    <w:rsid w:val="00AF4B94"/>
    <w:pPr>
      <w:tabs>
        <w:tab w:val="clear" w:pos="680"/>
      </w:tabs>
      <w:spacing w:before="60" w:after="60"/>
    </w:pPr>
  </w:style>
  <w:style w:type="paragraph" w:customStyle="1" w:styleId="SubHeading2">
    <w:name w:val="SubHeading2"/>
    <w:basedOn w:val="HeadingBase"/>
    <w:rsid w:val="00AF4B94"/>
    <w:pPr>
      <w:spacing w:before="240" w:after="60"/>
    </w:pPr>
    <w:rPr>
      <w:sz w:val="20"/>
    </w:rPr>
  </w:style>
  <w:style w:type="paragraph" w:customStyle="1" w:styleId="SubHeading1">
    <w:name w:val="SubHeading1"/>
    <w:basedOn w:val="HeadingBase"/>
    <w:rsid w:val="00AF4B94"/>
    <w:pPr>
      <w:spacing w:before="240" w:after="60"/>
    </w:pPr>
    <w:rPr>
      <w:color w:val="918585"/>
      <w:sz w:val="22"/>
    </w:rPr>
  </w:style>
  <w:style w:type="paragraph" w:customStyle="1" w:styleId="SideHeading">
    <w:name w:val="Side Heading"/>
    <w:basedOn w:val="HeadingBase"/>
    <w:rsid w:val="00AF4B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4B94"/>
    <w:pPr>
      <w:numPr>
        <w:numId w:val="10"/>
      </w:numPr>
    </w:pPr>
  </w:style>
  <w:style w:type="paragraph" w:styleId="PlainText">
    <w:name w:val="Plain Text"/>
    <w:basedOn w:val="Normal"/>
    <w:link w:val="PlainTextChar"/>
    <w:rsid w:val="00AF4B94"/>
    <w:rPr>
      <w:sz w:val="20"/>
    </w:rPr>
  </w:style>
  <w:style w:type="character" w:customStyle="1" w:styleId="PlainTextChar">
    <w:name w:val="Plain Text Char"/>
    <w:basedOn w:val="DefaultParagraphFont"/>
    <w:link w:val="PlainText"/>
    <w:rsid w:val="00AF4B94"/>
    <w:rPr>
      <w:rFonts w:ascii="Courier New" w:eastAsia="Times New Roman" w:hAnsi="Courier New" w:cs="Times New Roman"/>
      <w:sz w:val="20"/>
      <w:szCs w:val="20"/>
      <w:lang w:eastAsia="en-US"/>
    </w:rPr>
  </w:style>
  <w:style w:type="character" w:customStyle="1" w:styleId="MenuOption">
    <w:name w:val="Menu Option"/>
    <w:basedOn w:val="DefaultParagraphFont"/>
    <w:rsid w:val="00AF4B94"/>
    <w:rPr>
      <w:b/>
      <w:smallCaps/>
    </w:rPr>
  </w:style>
  <w:style w:type="paragraph" w:customStyle="1" w:styleId="TableListNumber">
    <w:name w:val="Table List Number"/>
    <w:basedOn w:val="ListNumber"/>
    <w:rsid w:val="00AF4B94"/>
    <w:pPr>
      <w:numPr>
        <w:numId w:val="0"/>
      </w:numPr>
    </w:pPr>
  </w:style>
  <w:style w:type="paragraph" w:styleId="TOC4">
    <w:name w:val="toc 4"/>
    <w:basedOn w:val="TOCBase"/>
    <w:next w:val="Normal"/>
    <w:semiHidden/>
    <w:rsid w:val="00AF4B94"/>
    <w:pPr>
      <w:tabs>
        <w:tab w:val="right" w:leader="dot" w:pos="9071"/>
      </w:tabs>
      <w:ind w:left="1701"/>
    </w:pPr>
  </w:style>
  <w:style w:type="paragraph" w:customStyle="1" w:styleId="ListAlpha">
    <w:name w:val="List Alpha"/>
    <w:basedOn w:val="List"/>
    <w:rsid w:val="00AF4B94"/>
    <w:pPr>
      <w:numPr>
        <w:numId w:val="8"/>
      </w:numPr>
    </w:pPr>
  </w:style>
  <w:style w:type="paragraph" w:customStyle="1" w:styleId="ListAlpha2">
    <w:name w:val="List Alpha 2"/>
    <w:basedOn w:val="List2"/>
    <w:rsid w:val="00AF4B94"/>
    <w:pPr>
      <w:numPr>
        <w:numId w:val="7"/>
      </w:numPr>
    </w:pPr>
  </w:style>
  <w:style w:type="paragraph" w:styleId="List2">
    <w:name w:val="List 2"/>
    <w:basedOn w:val="BodyText"/>
    <w:rsid w:val="00AF4B94"/>
    <w:pPr>
      <w:tabs>
        <w:tab w:val="left" w:pos="680"/>
      </w:tabs>
      <w:spacing w:before="60" w:after="60"/>
      <w:ind w:left="680" w:hanging="340"/>
    </w:pPr>
  </w:style>
  <w:style w:type="paragraph" w:styleId="List3">
    <w:name w:val="List 3"/>
    <w:basedOn w:val="BodyText"/>
    <w:rsid w:val="00AF4B94"/>
    <w:pPr>
      <w:tabs>
        <w:tab w:val="left" w:pos="1021"/>
      </w:tabs>
      <w:spacing w:before="60" w:after="60"/>
      <w:ind w:left="1020" w:hanging="340"/>
    </w:pPr>
  </w:style>
  <w:style w:type="paragraph" w:styleId="List4">
    <w:name w:val="List 4"/>
    <w:basedOn w:val="BodyText"/>
    <w:rsid w:val="00AF4B94"/>
    <w:pPr>
      <w:tabs>
        <w:tab w:val="left" w:pos="1361"/>
      </w:tabs>
      <w:spacing w:before="60" w:after="60"/>
      <w:ind w:left="1361" w:hanging="340"/>
    </w:pPr>
  </w:style>
  <w:style w:type="paragraph" w:styleId="List5">
    <w:name w:val="List 5"/>
    <w:basedOn w:val="BodyText"/>
    <w:rsid w:val="00AF4B94"/>
    <w:pPr>
      <w:tabs>
        <w:tab w:val="left" w:pos="1701"/>
      </w:tabs>
      <w:spacing w:before="60" w:after="60"/>
      <w:ind w:left="1701" w:hanging="340"/>
    </w:pPr>
  </w:style>
  <w:style w:type="paragraph" w:styleId="ListBullet3">
    <w:name w:val="List Bullet 3"/>
    <w:basedOn w:val="List3"/>
    <w:rsid w:val="00AF4B94"/>
    <w:pPr>
      <w:numPr>
        <w:numId w:val="13"/>
      </w:numPr>
      <w:tabs>
        <w:tab w:val="clear" w:pos="1021"/>
      </w:tabs>
      <w:ind w:left="1037" w:hanging="357"/>
    </w:pPr>
  </w:style>
  <w:style w:type="paragraph" w:styleId="ListBullet4">
    <w:name w:val="List Bullet 4"/>
    <w:basedOn w:val="List4"/>
    <w:rsid w:val="00AF4B94"/>
    <w:pPr>
      <w:numPr>
        <w:numId w:val="2"/>
      </w:numPr>
      <w:tabs>
        <w:tab w:val="clear" w:pos="1361"/>
      </w:tabs>
    </w:pPr>
  </w:style>
  <w:style w:type="paragraph" w:styleId="ListBullet5">
    <w:name w:val="List Bullet 5"/>
    <w:basedOn w:val="List5"/>
    <w:rsid w:val="00AF4B94"/>
    <w:pPr>
      <w:numPr>
        <w:numId w:val="3"/>
      </w:numPr>
    </w:pPr>
  </w:style>
  <w:style w:type="paragraph" w:styleId="ListContinue2">
    <w:name w:val="List Continue 2"/>
    <w:basedOn w:val="List2"/>
    <w:rsid w:val="00AF4B94"/>
    <w:pPr>
      <w:ind w:firstLine="0"/>
    </w:pPr>
  </w:style>
  <w:style w:type="paragraph" w:styleId="ListContinue3">
    <w:name w:val="List Continue 3"/>
    <w:basedOn w:val="List3"/>
    <w:rsid w:val="00AF4B94"/>
    <w:pPr>
      <w:ind w:left="1021" w:firstLine="0"/>
    </w:pPr>
  </w:style>
  <w:style w:type="paragraph" w:styleId="ListContinue4">
    <w:name w:val="List Continue 4"/>
    <w:basedOn w:val="List4"/>
    <w:rsid w:val="00AF4B94"/>
    <w:pPr>
      <w:ind w:firstLine="0"/>
    </w:pPr>
  </w:style>
  <w:style w:type="paragraph" w:styleId="ListContinue5">
    <w:name w:val="List Continue 5"/>
    <w:basedOn w:val="List5"/>
    <w:rsid w:val="00AF4B94"/>
    <w:pPr>
      <w:ind w:firstLine="0"/>
    </w:pPr>
  </w:style>
  <w:style w:type="paragraph" w:styleId="ListNumber3">
    <w:name w:val="List Number 3"/>
    <w:basedOn w:val="List3"/>
    <w:rsid w:val="00AF4B94"/>
    <w:pPr>
      <w:numPr>
        <w:numId w:val="4"/>
      </w:numPr>
    </w:pPr>
  </w:style>
  <w:style w:type="paragraph" w:styleId="ListNumber4">
    <w:name w:val="List Number 4"/>
    <w:basedOn w:val="List4"/>
    <w:rsid w:val="00AF4B94"/>
    <w:pPr>
      <w:numPr>
        <w:numId w:val="5"/>
      </w:numPr>
    </w:pPr>
  </w:style>
  <w:style w:type="paragraph" w:styleId="ListNumber5">
    <w:name w:val="List Number 5"/>
    <w:basedOn w:val="List5"/>
    <w:rsid w:val="00AF4B94"/>
    <w:pPr>
      <w:numPr>
        <w:numId w:val="6"/>
      </w:numPr>
    </w:pPr>
  </w:style>
  <w:style w:type="paragraph" w:styleId="BlockText">
    <w:name w:val="Block Text"/>
    <w:basedOn w:val="Normal"/>
    <w:rsid w:val="00AF4B94"/>
    <w:pPr>
      <w:spacing w:after="120"/>
      <w:ind w:left="1440" w:right="1440"/>
    </w:pPr>
  </w:style>
  <w:style w:type="character" w:customStyle="1" w:styleId="Subscript">
    <w:name w:val="Subscript"/>
    <w:basedOn w:val="DefaultParagraphFont"/>
    <w:rsid w:val="00AF4B94"/>
    <w:rPr>
      <w:sz w:val="16"/>
      <w:vertAlign w:val="subscript"/>
    </w:rPr>
  </w:style>
  <w:style w:type="character" w:customStyle="1" w:styleId="Superscript">
    <w:name w:val="Superscript"/>
    <w:basedOn w:val="DefaultParagraphFont"/>
    <w:rsid w:val="00AF4B94"/>
    <w:rPr>
      <w:sz w:val="16"/>
      <w:vertAlign w:val="superscript"/>
    </w:rPr>
  </w:style>
  <w:style w:type="character" w:customStyle="1" w:styleId="Symbols">
    <w:name w:val="Symbols"/>
    <w:basedOn w:val="DefaultParagraphFont"/>
    <w:rsid w:val="00AF4B94"/>
    <w:rPr>
      <w:rFonts w:ascii="Symbol" w:hAnsi="Symbol"/>
    </w:rPr>
  </w:style>
  <w:style w:type="character" w:customStyle="1" w:styleId="MenuOptions">
    <w:name w:val="Menu Options"/>
    <w:basedOn w:val="DefaultParagraphFont"/>
    <w:rsid w:val="00AF4B94"/>
    <w:rPr>
      <w:rFonts w:ascii="Arial Narrow" w:hAnsi="Arial Narrow"/>
      <w:smallCaps/>
    </w:rPr>
  </w:style>
  <w:style w:type="character" w:customStyle="1" w:styleId="Buttons">
    <w:name w:val="Buttons"/>
    <w:basedOn w:val="DefaultParagraphFont"/>
    <w:rsid w:val="00AF4B94"/>
    <w:rPr>
      <w:b/>
    </w:rPr>
  </w:style>
  <w:style w:type="character" w:customStyle="1" w:styleId="Underlined">
    <w:name w:val="Underlined"/>
    <w:basedOn w:val="DefaultParagraphFont"/>
    <w:rsid w:val="00AF4B94"/>
    <w:rPr>
      <w:u w:val="single"/>
    </w:rPr>
  </w:style>
  <w:style w:type="paragraph" w:customStyle="1" w:styleId="TableBodyTextRight">
    <w:name w:val="Table Body Text Right"/>
    <w:basedOn w:val="TableBodyText"/>
    <w:rsid w:val="00AF4B94"/>
    <w:pPr>
      <w:widowControl w:val="0"/>
      <w:autoSpaceDE w:val="0"/>
      <w:autoSpaceDN w:val="0"/>
      <w:adjustRightInd w:val="0"/>
      <w:jc w:val="right"/>
    </w:pPr>
    <w:rPr>
      <w:rFonts w:cs="Arial"/>
      <w:szCs w:val="18"/>
    </w:rPr>
  </w:style>
  <w:style w:type="paragraph" w:customStyle="1" w:styleId="CopyrightText">
    <w:name w:val="Copyright Text"/>
    <w:basedOn w:val="BodyText"/>
    <w:rsid w:val="00AF4B94"/>
    <w:rPr>
      <w:sz w:val="18"/>
    </w:rPr>
  </w:style>
  <w:style w:type="paragraph" w:customStyle="1" w:styleId="BodySmallRight">
    <w:name w:val="Body Small Right"/>
    <w:basedOn w:val="BodyTextRight"/>
    <w:rsid w:val="00AF4B94"/>
    <w:rPr>
      <w:sz w:val="18"/>
      <w:szCs w:val="18"/>
    </w:rPr>
  </w:style>
  <w:style w:type="paragraph" w:customStyle="1" w:styleId="MarginEdition">
    <w:name w:val="Margin Edition"/>
    <w:basedOn w:val="MarginNote"/>
    <w:rsid w:val="00AF4B94"/>
    <w:pPr>
      <w:spacing w:before="0" w:after="0"/>
    </w:pPr>
    <w:rPr>
      <w:rFonts w:ascii="Times New Roman" w:hAnsi="Times New Roman"/>
      <w:color w:val="999999"/>
    </w:rPr>
  </w:style>
  <w:style w:type="paragraph" w:customStyle="1" w:styleId="Spacer">
    <w:name w:val="Spacer"/>
    <w:basedOn w:val="Normal"/>
    <w:rsid w:val="00AF4B94"/>
    <w:rPr>
      <w:sz w:val="2"/>
      <w:szCs w:val="2"/>
    </w:rPr>
  </w:style>
  <w:style w:type="character" w:customStyle="1" w:styleId="Small">
    <w:name w:val="Small"/>
    <w:basedOn w:val="DefaultParagraphFont"/>
    <w:rsid w:val="00AF4B94"/>
    <w:rPr>
      <w:sz w:val="16"/>
    </w:rPr>
  </w:style>
  <w:style w:type="paragraph" w:customStyle="1" w:styleId="WideTable">
    <w:name w:val="Wide Table"/>
    <w:basedOn w:val="Normal"/>
    <w:rsid w:val="00AF4B94"/>
    <w:pPr>
      <w:ind w:left="-1418"/>
    </w:pPr>
    <w:rPr>
      <w:sz w:val="2"/>
      <w:szCs w:val="2"/>
    </w:rPr>
  </w:style>
  <w:style w:type="character" w:styleId="PageNumber">
    <w:name w:val="page number"/>
    <w:basedOn w:val="DefaultParagraphFont"/>
    <w:rsid w:val="00AF4B94"/>
  </w:style>
  <w:style w:type="paragraph" w:styleId="Quote">
    <w:name w:val="Quote"/>
    <w:basedOn w:val="Heading1"/>
    <w:link w:val="QuoteChar"/>
    <w:qFormat/>
    <w:rsid w:val="00AF4B94"/>
    <w:rPr>
      <w:b w:val="0"/>
      <w:sz w:val="72"/>
      <w:szCs w:val="72"/>
      <w:lang w:val="en-NZ"/>
    </w:rPr>
  </w:style>
  <w:style w:type="character" w:customStyle="1" w:styleId="QuoteChar">
    <w:name w:val="Quote Char"/>
    <w:basedOn w:val="DefaultParagraphFont"/>
    <w:link w:val="Quote"/>
    <w:rsid w:val="00AF4B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4B94"/>
    <w:pPr>
      <w:pageBreakBefore/>
    </w:pPr>
  </w:style>
  <w:style w:type="paragraph" w:customStyle="1" w:styleId="Border">
    <w:name w:val="Border"/>
    <w:basedOn w:val="Normal"/>
    <w:qFormat/>
    <w:rsid w:val="00AF4B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4B94"/>
    <w:rPr>
      <w:b/>
      <w:bCs/>
      <w:i/>
      <w:iCs/>
      <w:color w:val="auto"/>
    </w:rPr>
  </w:style>
  <w:style w:type="paragraph" w:styleId="IntenseQuote">
    <w:name w:val="Intense Quote"/>
    <w:basedOn w:val="Normal"/>
    <w:next w:val="Normal"/>
    <w:link w:val="IntenseQuoteChar"/>
    <w:uiPriority w:val="30"/>
    <w:qFormat/>
    <w:rsid w:val="00AF4B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4B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4B94"/>
    <w:rPr>
      <w:smallCaps/>
      <w:color w:val="auto"/>
      <w:u w:val="single"/>
    </w:rPr>
  </w:style>
  <w:style w:type="character" w:styleId="IntenseReference">
    <w:name w:val="Intense Reference"/>
    <w:basedOn w:val="DefaultParagraphFont"/>
    <w:uiPriority w:val="32"/>
    <w:qFormat/>
    <w:rsid w:val="00AF4B94"/>
    <w:rPr>
      <w:b/>
      <w:bCs/>
      <w:smallCaps/>
      <w:color w:val="auto"/>
      <w:spacing w:val="5"/>
      <w:u w:val="single"/>
    </w:rPr>
  </w:style>
  <w:style w:type="paragraph" w:customStyle="1" w:styleId="2ColumnHeading">
    <w:name w:val="2Column Heading"/>
    <w:basedOn w:val="BodyText"/>
    <w:qFormat/>
    <w:rsid w:val="00AF4B94"/>
    <w:pPr>
      <w:spacing w:after="60"/>
      <w:ind w:left="-2268"/>
    </w:pPr>
    <w:rPr>
      <w:b/>
    </w:rPr>
  </w:style>
  <w:style w:type="paragraph" w:customStyle="1" w:styleId="Heading1TOC">
    <w:name w:val="Heading1 TOC"/>
    <w:basedOn w:val="Normal"/>
    <w:qFormat/>
    <w:rsid w:val="00AF4B94"/>
    <w:pPr>
      <w:spacing w:before="240" w:after="120"/>
    </w:pPr>
    <w:rPr>
      <w:rFonts w:ascii="Times New Roman" w:hAnsi="Times New Roman"/>
      <w:b/>
      <w:sz w:val="32"/>
    </w:rPr>
  </w:style>
  <w:style w:type="paragraph" w:customStyle="1" w:styleId="Heading2TOC">
    <w:name w:val="Heading2 TOC"/>
    <w:basedOn w:val="Normal"/>
    <w:qFormat/>
    <w:rsid w:val="00AF4B94"/>
    <w:pPr>
      <w:spacing w:before="240" w:after="60"/>
    </w:pPr>
    <w:rPr>
      <w:rFonts w:ascii="Times New Roman" w:hAnsi="Times New Roman"/>
      <w:b/>
      <w:sz w:val="28"/>
    </w:rPr>
  </w:style>
  <w:style w:type="character" w:customStyle="1" w:styleId="Underline">
    <w:name w:val="Underline"/>
    <w:basedOn w:val="DefaultParagraphFont"/>
    <w:qFormat/>
    <w:rsid w:val="00AF4B94"/>
    <w:rPr>
      <w:u w:val="single"/>
    </w:rPr>
  </w:style>
  <w:style w:type="character" w:customStyle="1" w:styleId="BoldandItalics">
    <w:name w:val="Bold and Italics"/>
    <w:qFormat/>
    <w:rsid w:val="00AF4B94"/>
    <w:rPr>
      <w:b/>
      <w:i/>
      <w:u w:val="none"/>
    </w:rPr>
  </w:style>
  <w:style w:type="paragraph" w:styleId="BalloonText">
    <w:name w:val="Balloon Text"/>
    <w:basedOn w:val="Normal"/>
    <w:link w:val="BalloonTextChar"/>
    <w:rsid w:val="00AF4B94"/>
    <w:rPr>
      <w:rFonts w:ascii="Tahoma" w:hAnsi="Tahoma" w:cs="Tahoma"/>
      <w:sz w:val="16"/>
      <w:szCs w:val="16"/>
    </w:rPr>
  </w:style>
  <w:style w:type="character" w:customStyle="1" w:styleId="BalloonTextChar">
    <w:name w:val="Balloon Text Char"/>
    <w:basedOn w:val="DefaultParagraphFont"/>
    <w:link w:val="BalloonText"/>
    <w:rsid w:val="00AF4B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4B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4B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4B94"/>
    <w:rPr>
      <w:b/>
      <w:color w:val="660033"/>
      <w:spacing w:val="0"/>
    </w:rPr>
  </w:style>
  <w:style w:type="paragraph" w:customStyle="1" w:styleId="Nameditemlist">
    <w:name w:val="Named item list"/>
    <w:basedOn w:val="BodyText"/>
    <w:qFormat/>
    <w:rsid w:val="00AF4B94"/>
    <w:pPr>
      <w:tabs>
        <w:tab w:val="left" w:pos="2835"/>
      </w:tabs>
      <w:ind w:left="2835" w:hanging="2835"/>
    </w:pPr>
  </w:style>
  <w:style w:type="paragraph" w:customStyle="1" w:styleId="BodyTextnopadding">
    <w:name w:val="Body Text no padding"/>
    <w:basedOn w:val="BodyText"/>
    <w:qFormat/>
    <w:rsid w:val="00AF4B94"/>
    <w:pPr>
      <w:spacing w:before="0" w:after="0"/>
    </w:pPr>
  </w:style>
  <w:style w:type="paragraph" w:customStyle="1" w:styleId="BodyTextBold">
    <w:name w:val="Body Text Bold"/>
    <w:basedOn w:val="BodyText"/>
    <w:qFormat/>
    <w:rsid w:val="00AF4B94"/>
    <w:rPr>
      <w:b/>
    </w:rPr>
  </w:style>
  <w:style w:type="character" w:styleId="Hyperlink">
    <w:name w:val="Hyperlink"/>
    <w:basedOn w:val="DefaultParagraphFont"/>
    <w:uiPriority w:val="99"/>
    <w:unhideWhenUsed/>
    <w:rsid w:val="004B54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7323</Characters>
  <Application>Microsoft Office Word</Application>
  <DocSecurity>0</DocSecurity>
  <Lines>261</Lines>
  <Paragraphs>127</Paragraphs>
  <ScaleCrop>false</ScaleCrop>
  <Company>Author-it Software Corporation Ltd.</Company>
  <LinksUpToDate>false</LinksUpToDate>
  <CharactersWithSpaces>8313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TLIF3087 Follow work health and safety, and environmental procedures in the rail industry</dc:title>
  <dc:subject>Approved</dc:subject>
  <dc:creator>Industry Skills Australia</dc:creator>
  <cp:keywords>Release: 2</cp:keywords>
  <dc:description>Review Date: 12 April 2008</dc:description>
  <cp:lastModifiedBy>HSD_TPCMSd.prod</cp:lastModifiedBy>
  <cp:revision>3</cp:revision>
  <dcterms:created xsi:type="dcterms:W3CDTF">2025-03-01T21:47:00Z</dcterms:created>
  <dcterms:modified xsi:type="dcterms:W3CDTF">2025-03-01T21:47:00Z</dcterms:modified>
</cp:coreProperties>
</file>