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FFA" w:rsidP="00045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TLIF3084 Follow mobile crane safety procedures</w:t>
      </w:r>
      <w:r>
        <w:fldChar w:fldCharType="end"/>
      </w:r>
    </w:p>
    <w:p w:rsidR="00045FFA" w:rsidP="00045FFA">
      <w:pPr>
        <w:pStyle w:val="Version"/>
        <w:sectPr w:rsidSect="001846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4671" w:rsidP="00184671">
      <w:pPr>
        <w:pStyle w:val="SuperHeading"/>
      </w:pPr>
      <w:r w:rsidRPr="00184671">
        <w:t>TLIF3084 Follow mobile crane safety procedures</w:t>
      </w:r>
    </w:p>
    <w:p w:rsidR="00000000" w:rsidRPr="00184671" w:rsidP="00184671">
      <w:pPr>
        <w:pStyle w:val="Heading1"/>
      </w:pPr>
      <w:bookmarkStart w:id="1" w:name="O_1240584"/>
      <w:bookmarkEnd w:id="1"/>
      <w:r w:rsidRPr="001846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rPr>
                <w:rStyle w:val="SpecialBold"/>
              </w:rPr>
              <w:t>Release 2</w:t>
            </w:r>
            <w:r w:rsidRPr="00184671">
              <w:t>: This is the second release of this unit of competency in the TLI Transport and Logistics Training Package:</w:t>
            </w:r>
          </w:p>
          <w:p w:rsidR="00000000" w:rsidRPr="00184671" w:rsidP="00184671">
            <w:pPr>
              <w:pStyle w:val="ListBullet"/>
            </w:pPr>
            <w:r w:rsidRPr="00184671">
              <w:t>Minor word change in Performance Evidence</w:t>
            </w:r>
          </w:p>
          <w:p w:rsidR="00000000" w:rsidRPr="00184671" w:rsidP="00184671">
            <w:pPr>
              <w:pStyle w:val="ListBullet"/>
            </w:pPr>
            <w:r w:rsidRPr="00184671">
              <w:t>Minor word change in Knowledge Evidence</w:t>
            </w:r>
          </w:p>
          <w:p w:rsidR="00000000" w:rsidP="00184671">
            <w:pPr>
              <w:pStyle w:val="ListBullet"/>
              <w:rPr>
                <w:lang w:val="en-NZ"/>
              </w:rPr>
            </w:pPr>
            <w:r w:rsidRPr="00184671">
              <w:t xml:space="preserve">Minor statement changes </w:t>
            </w:r>
            <w:r w:rsidRPr="00184671">
              <w:t>in Assessment Conditions.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rPr>
                <w:rStyle w:val="SpecialBold"/>
              </w:rPr>
              <w:t>Release 1</w:t>
            </w:r>
            <w:r w:rsidRPr="00184671">
              <w:t>. This is the first release of this unit of competency in the TLI Transport and Logistics Training Package.</w:t>
            </w:r>
          </w:p>
        </w:tc>
      </w:tr>
    </w:tbl>
    <w:p w:rsidR="00000000" w:rsidRPr="00184671" w:rsidP="00184671">
      <w:pPr>
        <w:pStyle w:val="NoPaddingFontSize1"/>
      </w:pPr>
    </w:p>
    <w:p w:rsidR="00000000" w:rsidRPr="00184671" w:rsidP="00184671">
      <w:pPr>
        <w:pStyle w:val="AllowPageBreak"/>
      </w:pPr>
    </w:p>
    <w:p w:rsidR="00000000" w:rsidRPr="00184671" w:rsidP="00184671">
      <w:pPr>
        <w:pStyle w:val="Heading1"/>
      </w:pPr>
      <w:bookmarkStart w:id="2" w:name="O_1240583"/>
      <w:bookmarkEnd w:id="2"/>
      <w:r w:rsidRPr="0018467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t>This unit involves the skills and knowledge required to follow and apply mobile</w:t>
            </w:r>
            <w:r w:rsidRPr="00184671">
              <w:t xml:space="preserve"> crane safety procedures and work health and safety (WHS)/occupational health and safety (OHS) procedures when carrying out mobile crane operations. </w:t>
            </w:r>
          </w:p>
          <w:p w:rsidR="00000000" w:rsidRPr="00184671" w:rsidP="00184671">
            <w:pPr>
              <w:pStyle w:val="BodyText"/>
            </w:pPr>
            <w:r w:rsidRPr="00184671">
              <w:t xml:space="preserve">It includes identifying and following mobile crane and workplace procedures for hazard identification and </w:t>
            </w:r>
            <w:r w:rsidRPr="00184671">
              <w:t xml:space="preserve">risk control, contributing to arrangements for managing WHS/OHS, and completing all relevant safety records. </w:t>
            </w:r>
          </w:p>
          <w:p w:rsidR="00000000" w:rsidRPr="00184671" w:rsidP="00184671">
            <w:pPr>
              <w:pStyle w:val="BodyText"/>
            </w:pPr>
            <w:r w:rsidRPr="00184671">
              <w:t xml:space="preserve">Mobile crane operations are performed under some supervision, generally within a team environment. </w:t>
            </w:r>
          </w:p>
          <w:p w:rsidR="00000000" w:rsidRPr="00184671" w:rsidP="00184671">
            <w:pPr>
              <w:pStyle w:val="BodyText"/>
            </w:pPr>
            <w:r w:rsidRPr="00184671">
              <w:t>No licensing, legislative or certification requirements apply to this unit at the time of publication.</w:t>
            </w:r>
          </w:p>
        </w:tc>
      </w:tr>
    </w:tbl>
    <w:p w:rsidR="00000000" w:rsidRPr="00184671" w:rsidP="00184671">
      <w:pPr>
        <w:pStyle w:val="NoPaddingFontSize1"/>
      </w:pPr>
    </w:p>
    <w:p w:rsidR="00000000" w:rsidRPr="00184671" w:rsidP="00184671">
      <w:pPr>
        <w:pStyle w:val="AllowPageBreak"/>
      </w:pPr>
    </w:p>
    <w:p w:rsidR="00000000" w:rsidRPr="00184671" w:rsidP="00184671">
      <w:pPr>
        <w:pStyle w:val="Heading1"/>
      </w:pPr>
      <w:bookmarkStart w:id="3" w:name="O_1240582"/>
      <w:bookmarkEnd w:id="3"/>
      <w:r w:rsidRPr="0018467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t>Not applicable.</w:t>
            </w:r>
          </w:p>
        </w:tc>
      </w:tr>
    </w:tbl>
    <w:p w:rsidR="00000000" w:rsidRPr="00184671" w:rsidP="00184671">
      <w:pPr>
        <w:pStyle w:val="NoPaddingFontSize1"/>
      </w:pPr>
    </w:p>
    <w:p w:rsidR="00000000" w:rsidRPr="00184671" w:rsidP="00184671">
      <w:pPr>
        <w:pStyle w:val="AllowPageBreak"/>
      </w:pPr>
    </w:p>
    <w:p w:rsidR="00000000" w:rsidRPr="00184671" w:rsidP="00184671">
      <w:pPr>
        <w:pStyle w:val="Heading1"/>
      </w:pPr>
      <w:bookmarkStart w:id="4" w:name="O_1240581"/>
      <w:bookmarkEnd w:id="4"/>
      <w:r w:rsidRPr="0018467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t>F – Safety Management</w:t>
            </w:r>
          </w:p>
        </w:tc>
      </w:tr>
    </w:tbl>
    <w:p w:rsidR="00000000" w:rsidRPr="00184671" w:rsidP="00184671">
      <w:pPr>
        <w:pStyle w:val="NoPaddingFontSize1"/>
      </w:pPr>
    </w:p>
    <w:p w:rsidR="00000000" w:rsidRPr="00184671" w:rsidP="00184671">
      <w:pPr>
        <w:pStyle w:val="AllowPageBreak"/>
      </w:pPr>
    </w:p>
    <w:p w:rsidR="00000000" w:rsidRPr="00184671" w:rsidP="00184671">
      <w:pPr>
        <w:pStyle w:val="Heading1"/>
      </w:pPr>
      <w:bookmarkStart w:id="5" w:name="O_1240580"/>
      <w:bookmarkEnd w:id="5"/>
      <w:r w:rsidRPr="0018467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t>Mobi</w:t>
            </w:r>
            <w:r w:rsidRPr="00184671">
              <w:t>le crane.</w:t>
            </w:r>
          </w:p>
        </w:tc>
      </w:tr>
    </w:tbl>
    <w:p w:rsidR="00000000" w:rsidRPr="00184671" w:rsidP="00184671">
      <w:pPr>
        <w:pStyle w:val="NoPaddingFontSize1"/>
      </w:pPr>
    </w:p>
    <w:p w:rsidR="00000000" w:rsidRPr="00184671" w:rsidP="00184671">
      <w:pPr>
        <w:pStyle w:val="AllowPageBreak"/>
      </w:pPr>
    </w:p>
    <w:p w:rsidR="00000000" w:rsidRPr="00184671" w:rsidP="00184671">
      <w:pPr>
        <w:pStyle w:val="Heading1"/>
      </w:pPr>
      <w:bookmarkStart w:id="6" w:name="O_1240579"/>
      <w:bookmarkEnd w:id="6"/>
      <w:r w:rsidRPr="0018467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2"/>
        <w:gridCol w:w="3276"/>
        <w:gridCol w:w="1417"/>
        <w:gridCol w:w="4122"/>
      </w:tblGrid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rPr>
                <w:rStyle w:val="SpecialBold"/>
              </w:rPr>
              <w:t>ELEMENTS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PERFORMANCE CRITERIA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Elements describe the essential outcomes.</w:t>
            </w:r>
          </w:p>
        </w:tc>
        <w:tc>
          <w:tcPr>
            <w:tcW w:w="55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Performance criteria describe the performance needed to demonstrate achievement of the element.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rPr>
                <w:rStyle w:val="SpecialBold"/>
              </w:rPr>
              <w:t>1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rPr>
                <w:rStyle w:val="SpecialBold"/>
              </w:rPr>
              <w:t>Follow workplace and mobile crane safety procedures for hazard identification and risk control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1.1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Mobile crane and workplace procedures for dealing with accidents, fire and emergencies are identified and followed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>
            <w:pPr>
              <w:pStyle w:val="BodyText"/>
              <w:keepLines w:val="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1.2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Mobile crane and workplace procedures for WHS/OHS and related work instructions for controlling risks in a workplace are accurately followed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>
            <w:pPr>
              <w:pStyle w:val="BodyText"/>
              <w:keepLines w:val="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1.3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Mobile crane hazards and site hazards in the workplace are identified and appropriate action is taken to rep</w:t>
            </w:r>
            <w:r w:rsidRPr="00184671">
              <w:t>ort them and to minimise or eliminate risk to personnel, workplace and the environment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>
            <w:pPr>
              <w:pStyle w:val="BodyText"/>
              <w:keepLines w:val="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1.4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Safety regulations and established mobile crane and workplace safety and hazard control practices and procedures are obtained, interpreted and applied to mobile c</w:t>
            </w:r>
            <w:r w:rsidRPr="00184671">
              <w:t>rane operations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>
            <w:pPr>
              <w:pStyle w:val="BodyText"/>
              <w:keepLines w:val="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1.5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Procedures and precautions necessary for entry into confined spaces in the workplace are correctly followed, as required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>
            <w:pPr>
              <w:pStyle w:val="BodyText"/>
              <w:keepLines w:val="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1.6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Personal protective equipment (PPE) is correctly used in accordance with established safety practices and</w:t>
            </w:r>
            <w:r w:rsidRPr="00184671">
              <w:t xml:space="preserve"> procedures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>
            <w:pPr>
              <w:pStyle w:val="BodyText"/>
              <w:keepLines w:val="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1.7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Established mobile crane and workplace emergency and contingency plans are followed in an emergency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rPr>
                <w:rStyle w:val="SpecialBold"/>
              </w:rPr>
              <w:t>2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rPr>
                <w:rStyle w:val="SpecialBold"/>
              </w:rPr>
              <w:t xml:space="preserve">Contribute to arrangements for managing mobile crane safety procedures and WHS/OHS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2.1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Mobile crane safety hazards a</w:t>
            </w:r>
            <w:r w:rsidRPr="00184671">
              <w:t>nd WHS/OHS issues are identified and raised with designated personnel in accordance with workplace procedures and relevant WHS/OHS legislation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>
            <w:pPr>
              <w:pStyle w:val="BodyText"/>
              <w:keepLines w:val="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2.2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 xml:space="preserve">Contributions to WHS/OHS management in the workplace are made in accordance with workplace procedures and </w:t>
            </w:r>
            <w:r w:rsidRPr="00184671">
              <w:t>provisions of relevant legislation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>
            <w:pPr>
              <w:pStyle w:val="BodyText"/>
              <w:keepLines w:val="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2.3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Participative arrangements for mobile crane safety procedures and WHS/OHS management in the workplace are contributed to within relevant workplace procedures, scope of responsibilities and own competence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rPr>
                <w:rStyle w:val="SpecialBold"/>
              </w:rPr>
              <w:t>3</w:t>
            </w: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rPr>
                <w:rStyle w:val="SpecialBold"/>
              </w:rPr>
              <w:t>Complete workplace and WHS/OHS records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3.1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t>Mobile crane and WHS/OHS records are completed in accordance with workplace requirements</w:t>
            </w:r>
          </w:p>
        </w:tc>
      </w:tr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>
            <w:pPr>
              <w:pStyle w:val="BodyText"/>
              <w:keepLines w:val="0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671">
            <w:pPr>
              <w:pStyle w:val="BodyText"/>
              <w:rPr>
                <w:lang w:val="en-NZ"/>
              </w:rPr>
            </w:pPr>
            <w:r w:rsidRPr="00184671">
              <w:rPr>
                <w:rStyle w:val="SpecialBold"/>
              </w:rPr>
              <w:t>3.2</w:t>
            </w:r>
          </w:p>
        </w:tc>
        <w:tc>
          <w:tcPr>
            <w:tcW w:w="41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t>WHS/OHS records and legal requirements for maintaining records of occupational injury and diseases are followed</w:t>
            </w:r>
          </w:p>
        </w:tc>
      </w:tr>
    </w:tbl>
    <w:p w:rsidR="00000000" w:rsidRPr="00184671" w:rsidP="00184671">
      <w:pPr>
        <w:pStyle w:val="NoPaddingFontSize1"/>
      </w:pPr>
    </w:p>
    <w:p w:rsidR="00000000" w:rsidRPr="00184671" w:rsidP="00184671">
      <w:pPr>
        <w:pStyle w:val="AllowPageBreak"/>
      </w:pPr>
    </w:p>
    <w:p w:rsidR="00000000" w:rsidRPr="00184671" w:rsidP="00184671">
      <w:pPr>
        <w:pStyle w:val="Heading1"/>
      </w:pPr>
      <w:bookmarkStart w:id="7" w:name="O_1240578"/>
      <w:bookmarkEnd w:id="7"/>
      <w:r w:rsidRPr="0018467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t>Foundation skills essential to performance are explicit in the performance criteria of this unit of competency.</w:t>
            </w:r>
          </w:p>
        </w:tc>
      </w:tr>
    </w:tbl>
    <w:p w:rsidR="00000000" w:rsidRPr="00184671" w:rsidP="00184671">
      <w:pPr>
        <w:pStyle w:val="NoPaddingFontSize1"/>
      </w:pPr>
    </w:p>
    <w:p w:rsidR="00000000" w:rsidRPr="00184671" w:rsidP="00184671">
      <w:pPr>
        <w:pStyle w:val="AllowPageBreak"/>
      </w:pPr>
    </w:p>
    <w:p w:rsidR="00000000" w:rsidRPr="00184671" w:rsidP="00184671">
      <w:pPr>
        <w:pStyle w:val="Heading1"/>
      </w:pPr>
      <w:bookmarkStart w:id="8" w:name="O_1240577"/>
      <w:bookmarkEnd w:id="8"/>
      <w:r w:rsidRPr="0018467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t>Range is restricted to essential operating conditions and any other variables essential to the work environment.</w:t>
            </w:r>
          </w:p>
          <w:p w:rsidR="00000000" w:rsidRPr="00184671" w:rsidP="00184671">
            <w:pPr>
              <w:pStyle w:val="BodyText"/>
            </w:pPr>
            <w:r w:rsidRPr="00184671">
              <w:t>Non-essential conditions can be found in the TLI Transport and Logistics Training Package Companion Volume Implementation Guide.</w:t>
            </w:r>
          </w:p>
        </w:tc>
      </w:tr>
    </w:tbl>
    <w:p w:rsidR="00000000" w:rsidRPr="00184671" w:rsidP="00184671">
      <w:pPr>
        <w:pStyle w:val="NoPaddingFontSize1"/>
      </w:pPr>
    </w:p>
    <w:p w:rsidR="00000000" w:rsidRPr="00184671" w:rsidP="00184671">
      <w:pPr>
        <w:pStyle w:val="AllowPageBreak"/>
      </w:pPr>
    </w:p>
    <w:p w:rsidR="00000000" w:rsidRPr="00184671" w:rsidP="00184671">
      <w:pPr>
        <w:pStyle w:val="Heading1"/>
      </w:pPr>
      <w:bookmarkStart w:id="9" w:name="O_1240576"/>
      <w:bookmarkEnd w:id="9"/>
      <w:r w:rsidRPr="0018467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6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671" w:rsidP="00184671">
            <w:pPr>
              <w:pStyle w:val="BodyText"/>
            </w:pPr>
            <w:r w:rsidRPr="00184671">
              <w:t>This unit replaces and is equivalent to TLIF3084A Follow mobile crane safety procedures.</w:t>
            </w:r>
          </w:p>
        </w:tc>
      </w:tr>
    </w:tbl>
    <w:p w:rsidR="00000000" w:rsidRPr="00184671" w:rsidP="00184671">
      <w:pPr>
        <w:pStyle w:val="NoPaddingFontSize1"/>
      </w:pPr>
    </w:p>
    <w:p w:rsidR="00000000" w:rsidRPr="00184671" w:rsidP="00184671">
      <w:pPr>
        <w:pStyle w:val="AllowPageBreak"/>
      </w:pPr>
    </w:p>
    <w:p w:rsidR="00000000" w:rsidRPr="00184671" w:rsidP="00184671">
      <w:pPr>
        <w:pStyle w:val="Heading1"/>
      </w:pPr>
      <w:bookmarkStart w:id="10" w:name="O_1240585"/>
      <w:bookmarkEnd w:id="10"/>
      <w:r w:rsidRPr="00184671">
        <w:t>Links</w:t>
      </w:r>
    </w:p>
    <w:p w:rsidR="00000000" w:rsidRPr="00184671" w:rsidP="00045FFA">
      <w:pPr>
        <w:pStyle w:val="BodyText"/>
      </w:pPr>
      <w:r w:rsidRPr="001846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1793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84671" w:rsidP="00184671"/>
    <w:sectPr w:rsidSect="001846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71" w:rsidRPr="00045FFA" w:rsidP="00045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FA" w:rsidP="001846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FFA" w:rsidP="001846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5FFA" w:rsidP="001846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671" w:rsidRPr="00045FFA" w:rsidP="00045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6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FFA" w:rsidRPr="002D2AF8" w:rsidP="001846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TLIF3084 Follow mobile crane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45FFA" w:rsidP="001846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08E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92A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6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6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6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6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6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6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6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6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6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6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6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671"/>
  </w:style>
  <w:style w:type="character" w:customStyle="1" w:styleId="Heading1Char">
    <w:name w:val="Heading 1 Char"/>
    <w:basedOn w:val="DefaultParagraphFont"/>
    <w:link w:val="Heading1"/>
    <w:rsid w:val="001846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6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6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6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671"/>
    <w:rPr>
      <w:b/>
      <w:spacing w:val="0"/>
    </w:rPr>
  </w:style>
  <w:style w:type="paragraph" w:customStyle="1" w:styleId="SuperHeading">
    <w:name w:val="SuperHeading"/>
    <w:basedOn w:val="Normal"/>
    <w:rsid w:val="001846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6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46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6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6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6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6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6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6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6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6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6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6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6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6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6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6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6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6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6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6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6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6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6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6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6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6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6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6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6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6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6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6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671"/>
    <w:rPr>
      <w:i/>
    </w:rPr>
  </w:style>
  <w:style w:type="paragraph" w:styleId="Caption">
    <w:name w:val="caption"/>
    <w:basedOn w:val="BodyText"/>
    <w:next w:val="Normal"/>
    <w:qFormat/>
    <w:rsid w:val="001846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6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6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671"/>
  </w:style>
  <w:style w:type="paragraph" w:styleId="TableofFigures">
    <w:name w:val="table of figures"/>
    <w:basedOn w:val="Normal"/>
    <w:next w:val="Normal"/>
    <w:semiHidden/>
    <w:rsid w:val="001846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6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671"/>
    <w:rPr>
      <w:rFonts w:ascii="Wingdings" w:hAnsi="Wingdings"/>
    </w:rPr>
  </w:style>
  <w:style w:type="paragraph" w:customStyle="1" w:styleId="TableHeading">
    <w:name w:val="Table Heading"/>
    <w:basedOn w:val="HeadingBase"/>
    <w:rsid w:val="001846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671"/>
    <w:rPr>
      <w:color w:val="0033CC"/>
      <w:u w:val="none"/>
    </w:rPr>
  </w:style>
  <w:style w:type="paragraph" w:customStyle="1" w:styleId="BodyTextRight">
    <w:name w:val="Body Text Right"/>
    <w:basedOn w:val="BodyText"/>
    <w:rsid w:val="001846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6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6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6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6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6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671"/>
    <w:rPr>
      <w:sz w:val="32"/>
    </w:rPr>
  </w:style>
  <w:style w:type="paragraph" w:customStyle="1" w:styleId="HeadingProcedure">
    <w:name w:val="Heading Procedure"/>
    <w:basedOn w:val="HeadingBase"/>
    <w:next w:val="Normal"/>
    <w:rsid w:val="001846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671"/>
    <w:pPr>
      <w:spacing w:before="60" w:after="60"/>
    </w:pPr>
  </w:style>
  <w:style w:type="paragraph" w:styleId="ListContinue">
    <w:name w:val="List Continue"/>
    <w:basedOn w:val="List"/>
    <w:rsid w:val="00184671"/>
    <w:pPr>
      <w:ind w:firstLine="0"/>
    </w:pPr>
  </w:style>
  <w:style w:type="paragraph" w:customStyle="1" w:styleId="ListNote">
    <w:name w:val="List Note"/>
    <w:basedOn w:val="List"/>
    <w:rsid w:val="001846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6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6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671"/>
    <w:rPr>
      <w:rFonts w:ascii="Courier New" w:hAnsi="Courier New"/>
    </w:rPr>
  </w:style>
  <w:style w:type="paragraph" w:customStyle="1" w:styleId="NoteBullet">
    <w:name w:val="Note Bullet"/>
    <w:basedOn w:val="Note"/>
    <w:rsid w:val="001846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6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6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6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6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6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6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671"/>
    <w:rPr>
      <w:b/>
      <w:smallCaps/>
    </w:rPr>
  </w:style>
  <w:style w:type="paragraph" w:customStyle="1" w:styleId="TableListNumber">
    <w:name w:val="Table List Number"/>
    <w:basedOn w:val="ListNumber"/>
    <w:rsid w:val="001846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6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671"/>
    <w:pPr>
      <w:numPr>
        <w:numId w:val="8"/>
      </w:numPr>
    </w:pPr>
  </w:style>
  <w:style w:type="paragraph" w:customStyle="1" w:styleId="ListAlpha2">
    <w:name w:val="List Alpha 2"/>
    <w:basedOn w:val="List2"/>
    <w:rsid w:val="00184671"/>
    <w:pPr>
      <w:numPr>
        <w:numId w:val="7"/>
      </w:numPr>
    </w:pPr>
  </w:style>
  <w:style w:type="paragraph" w:styleId="List2">
    <w:name w:val="List 2"/>
    <w:basedOn w:val="BodyText"/>
    <w:rsid w:val="001846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6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6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6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6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6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671"/>
    <w:pPr>
      <w:numPr>
        <w:numId w:val="3"/>
      </w:numPr>
    </w:pPr>
  </w:style>
  <w:style w:type="paragraph" w:styleId="ListContinue2">
    <w:name w:val="List Continue 2"/>
    <w:basedOn w:val="List2"/>
    <w:rsid w:val="00184671"/>
    <w:pPr>
      <w:ind w:firstLine="0"/>
    </w:pPr>
  </w:style>
  <w:style w:type="paragraph" w:styleId="ListContinue3">
    <w:name w:val="List Continue 3"/>
    <w:basedOn w:val="List3"/>
    <w:rsid w:val="00184671"/>
    <w:pPr>
      <w:ind w:left="1021" w:firstLine="0"/>
    </w:pPr>
  </w:style>
  <w:style w:type="paragraph" w:styleId="ListContinue4">
    <w:name w:val="List Continue 4"/>
    <w:basedOn w:val="List4"/>
    <w:rsid w:val="00184671"/>
    <w:pPr>
      <w:ind w:firstLine="0"/>
    </w:pPr>
  </w:style>
  <w:style w:type="paragraph" w:styleId="ListContinue5">
    <w:name w:val="List Continue 5"/>
    <w:basedOn w:val="List5"/>
    <w:rsid w:val="00184671"/>
    <w:pPr>
      <w:ind w:firstLine="0"/>
    </w:pPr>
  </w:style>
  <w:style w:type="paragraph" w:styleId="ListNumber3">
    <w:name w:val="List Number 3"/>
    <w:basedOn w:val="List3"/>
    <w:rsid w:val="00184671"/>
    <w:pPr>
      <w:numPr>
        <w:numId w:val="4"/>
      </w:numPr>
    </w:pPr>
  </w:style>
  <w:style w:type="paragraph" w:styleId="ListNumber4">
    <w:name w:val="List Number 4"/>
    <w:basedOn w:val="List4"/>
    <w:rsid w:val="00184671"/>
    <w:pPr>
      <w:numPr>
        <w:numId w:val="5"/>
      </w:numPr>
    </w:pPr>
  </w:style>
  <w:style w:type="paragraph" w:styleId="ListNumber5">
    <w:name w:val="List Number 5"/>
    <w:basedOn w:val="List5"/>
    <w:rsid w:val="00184671"/>
    <w:pPr>
      <w:numPr>
        <w:numId w:val="6"/>
      </w:numPr>
    </w:pPr>
  </w:style>
  <w:style w:type="paragraph" w:styleId="BlockText">
    <w:name w:val="Block Text"/>
    <w:basedOn w:val="Normal"/>
    <w:rsid w:val="001846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6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671"/>
    <w:rPr>
      <w:sz w:val="16"/>
      <w:vertAlign w:val="superscript"/>
    </w:rPr>
  </w:style>
  <w:style w:type="character" w:customStyle="1" w:styleId="Symbols">
    <w:name w:val="Symbols"/>
    <w:basedOn w:val="DefaultParagraphFont"/>
    <w:rsid w:val="00184671"/>
    <w:rPr>
      <w:rFonts w:ascii="Symbol" w:hAnsi="Symbol"/>
    </w:rPr>
  </w:style>
  <w:style w:type="character" w:customStyle="1" w:styleId="MenuOptions">
    <w:name w:val="Menu Options"/>
    <w:basedOn w:val="DefaultParagraphFont"/>
    <w:rsid w:val="001846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671"/>
    <w:rPr>
      <w:b/>
    </w:rPr>
  </w:style>
  <w:style w:type="character" w:customStyle="1" w:styleId="Underlined">
    <w:name w:val="Underlined"/>
    <w:basedOn w:val="DefaultParagraphFont"/>
    <w:rsid w:val="00184671"/>
    <w:rPr>
      <w:u w:val="single"/>
    </w:rPr>
  </w:style>
  <w:style w:type="paragraph" w:customStyle="1" w:styleId="TableBodyTextRight">
    <w:name w:val="Table Body Text Right"/>
    <w:basedOn w:val="TableBodyText"/>
    <w:rsid w:val="001846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671"/>
    <w:rPr>
      <w:sz w:val="18"/>
    </w:rPr>
  </w:style>
  <w:style w:type="paragraph" w:customStyle="1" w:styleId="BodySmallRight">
    <w:name w:val="Body Small Right"/>
    <w:basedOn w:val="BodyTextRight"/>
    <w:rsid w:val="00184671"/>
    <w:rPr>
      <w:sz w:val="18"/>
      <w:szCs w:val="18"/>
    </w:rPr>
  </w:style>
  <w:style w:type="paragraph" w:customStyle="1" w:styleId="MarginEdition">
    <w:name w:val="Margin Edition"/>
    <w:basedOn w:val="MarginNote"/>
    <w:rsid w:val="001846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671"/>
    <w:rPr>
      <w:sz w:val="2"/>
      <w:szCs w:val="2"/>
    </w:rPr>
  </w:style>
  <w:style w:type="character" w:customStyle="1" w:styleId="Small">
    <w:name w:val="Small"/>
    <w:basedOn w:val="DefaultParagraphFont"/>
    <w:rsid w:val="00184671"/>
    <w:rPr>
      <w:sz w:val="16"/>
    </w:rPr>
  </w:style>
  <w:style w:type="paragraph" w:customStyle="1" w:styleId="WideTable">
    <w:name w:val="Wide Table"/>
    <w:basedOn w:val="Normal"/>
    <w:rsid w:val="001846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671"/>
  </w:style>
  <w:style w:type="paragraph" w:styleId="Quote">
    <w:name w:val="Quote"/>
    <w:basedOn w:val="Heading1"/>
    <w:link w:val="QuoteChar"/>
    <w:qFormat/>
    <w:rsid w:val="001846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6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671"/>
    <w:pPr>
      <w:pageBreakBefore/>
    </w:pPr>
  </w:style>
  <w:style w:type="paragraph" w:customStyle="1" w:styleId="Border">
    <w:name w:val="Border"/>
    <w:basedOn w:val="Normal"/>
    <w:qFormat/>
    <w:rsid w:val="001846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6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6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6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6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6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6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6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6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671"/>
    <w:rPr>
      <w:u w:val="single"/>
    </w:rPr>
  </w:style>
  <w:style w:type="character" w:customStyle="1" w:styleId="BoldandItalics">
    <w:name w:val="Bold and Italics"/>
    <w:qFormat/>
    <w:rsid w:val="00184671"/>
    <w:rPr>
      <w:b/>
      <w:i/>
      <w:u w:val="none"/>
    </w:rPr>
  </w:style>
  <w:style w:type="paragraph" w:styleId="BalloonText">
    <w:name w:val="Balloon Text"/>
    <w:basedOn w:val="Normal"/>
    <w:link w:val="BalloonTextChar"/>
    <w:rsid w:val="001846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6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6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6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6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6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671"/>
    <w:pPr>
      <w:spacing w:before="0" w:after="0"/>
    </w:pPr>
  </w:style>
  <w:style w:type="paragraph" w:customStyle="1" w:styleId="BodyTextBold">
    <w:name w:val="Body Text Bold"/>
    <w:basedOn w:val="BodyText"/>
    <w:qFormat/>
    <w:rsid w:val="00184671"/>
    <w:rPr>
      <w:b/>
    </w:rPr>
  </w:style>
  <w:style w:type="character" w:styleId="Hyperlink">
    <w:name w:val="Hyperlink"/>
    <w:basedOn w:val="DefaultParagraphFont"/>
    <w:uiPriority w:val="99"/>
    <w:unhideWhenUsed/>
    <w:rsid w:val="00045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3711</Characters>
  <Application>Microsoft Office Word</Application>
  <DocSecurity>0</DocSecurity>
  <Lines>176</Lines>
  <Paragraphs>78</Paragraphs>
  <ScaleCrop>false</ScaleCrop>
  <Company>Author-it Software Corporation Ltd.</Company>
  <LinksUpToDate>false</LinksUpToDate>
  <CharactersWithSpaces>4222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TLIF3084 Follow mobile crane safety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2024-07-12T07:21:00Z</dcterms:created>
  <dcterms:modified xsi:type="dcterms:W3CDTF">2024-07-12T07:21:00Z</dcterms:modified>
</cp:coreProperties>
</file>