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29B" w:rsidP="0077629B">
      <w:pPr>
        <w:pStyle w:val="Title"/>
      </w:pPr>
      <w:r>
        <w:fldChar w:fldCharType="begin"/>
      </w:r>
      <w:r>
        <w:instrText xml:space="preserve"> TITLE   \* MERGEFORMAT </w:instrText>
      </w:r>
      <w:r>
        <w:fldChar w:fldCharType="separate"/>
      </w:r>
      <w:r>
        <w:t>TLIF3084 Follow mobile crane safety procedures</w:t>
      </w:r>
      <w:r>
        <w:fldChar w:fldCharType="end"/>
      </w:r>
    </w:p>
    <w:p w:rsidR="0077629B" w:rsidP="0077629B">
      <w:pPr>
        <w:pStyle w:val="Version"/>
        <w:sectPr w:rsidSect="00415A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5AB5" w:rsidP="00415AB5">
      <w:pPr>
        <w:pStyle w:val="SuperHeading"/>
      </w:pPr>
      <w:r w:rsidRPr="00415AB5">
        <w:t>TLIF3084 Follow mobile crane safety procedures</w:t>
      </w:r>
    </w:p>
    <w:p w:rsidR="00000000" w:rsidRPr="00415AB5" w:rsidP="00415AB5">
      <w:pPr>
        <w:pStyle w:val="Heading1"/>
      </w:pPr>
      <w:bookmarkStart w:id="1" w:name="O_1240584"/>
      <w:bookmarkEnd w:id="1"/>
      <w:r w:rsidRPr="00415AB5">
        <w:t>Modification History</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Release 2</w:t>
            </w:r>
            <w:r w:rsidRPr="00415AB5">
              <w:t>: This is the second release of this unit of competency in the TLI Transport and Logistics Training Package:</w:t>
            </w:r>
          </w:p>
          <w:p w:rsidR="00000000" w:rsidRPr="00415AB5" w:rsidP="00415AB5">
            <w:pPr>
              <w:pStyle w:val="ListBullet"/>
            </w:pPr>
            <w:r w:rsidRPr="00415AB5">
              <w:t>Minor word change in Performance Evidence</w:t>
            </w:r>
          </w:p>
          <w:p w:rsidR="00000000" w:rsidRPr="00415AB5" w:rsidP="00415AB5">
            <w:pPr>
              <w:pStyle w:val="ListBullet"/>
            </w:pPr>
            <w:r w:rsidRPr="00415AB5">
              <w:t>Minor word change in Knowledge Evidence</w:t>
            </w:r>
          </w:p>
          <w:p w:rsidR="00000000" w:rsidP="00415AB5">
            <w:pPr>
              <w:pStyle w:val="ListBullet"/>
              <w:rPr>
                <w:lang w:val="en-NZ"/>
              </w:rPr>
            </w:pPr>
            <w:r w:rsidRPr="00415AB5">
              <w:t xml:space="preserve">Minor statement changes </w:t>
            </w:r>
            <w:r w:rsidRPr="00415AB5">
              <w:t>in Assessment Conditions.</w:t>
            </w:r>
          </w:p>
        </w:tc>
      </w:tr>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Release 1</w:t>
            </w:r>
            <w:r w:rsidRPr="00415AB5">
              <w:t>. This is the first release of this unit of competency in the TLI Transport and Logistics Training Package.</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2" w:name="O_1240583"/>
      <w:bookmarkEnd w:id="2"/>
      <w:r w:rsidRPr="00415AB5">
        <w:t>Application</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This unit involves the skills and knowledge required to follow and apply mobile</w:t>
            </w:r>
            <w:r w:rsidRPr="00415AB5">
              <w:t xml:space="preserve"> crane safety procedures and work health and safety (WHS)/occupational health and safety (OHS) procedures when carrying out mobile crane operations. </w:t>
            </w:r>
          </w:p>
          <w:p w:rsidR="00000000" w:rsidRPr="00415AB5" w:rsidP="00415AB5">
            <w:pPr>
              <w:pStyle w:val="BodyText"/>
            </w:pPr>
            <w:r w:rsidRPr="00415AB5">
              <w:t xml:space="preserve">It includes identifying and following mobile crane and workplace procedures for hazard identification and risk control, contributing to arrangements for managing WHS/OHS, and completing all relevant safety records. </w:t>
            </w:r>
          </w:p>
          <w:p w:rsidR="00000000" w:rsidRPr="00415AB5" w:rsidP="00415AB5">
            <w:pPr>
              <w:pStyle w:val="BodyText"/>
            </w:pPr>
            <w:r w:rsidRPr="00415AB5">
              <w:t>Mobile crane operations are performed un</w:t>
            </w:r>
            <w:r w:rsidRPr="00415AB5">
              <w:t xml:space="preserve">der some supervision, generally within a team environment. </w:t>
            </w:r>
          </w:p>
          <w:p w:rsidR="00000000" w:rsidRPr="00415AB5" w:rsidP="00415AB5">
            <w:pPr>
              <w:pStyle w:val="BodyText"/>
            </w:pPr>
            <w:r w:rsidRPr="00415AB5">
              <w:t>No licensing, legislative or certification requirements apply to this unit at the time of publication.</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3" w:name="O_1240582"/>
      <w:bookmarkEnd w:id="3"/>
      <w:r w:rsidRPr="00415AB5">
        <w:t>Pre-requisite Unit</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Not applicable.</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4" w:name="O_1240581"/>
      <w:bookmarkEnd w:id="4"/>
      <w:r w:rsidRPr="00415AB5">
        <w:t>Competency Field</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F – Safety Management</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5" w:name="O_1240580"/>
      <w:bookmarkEnd w:id="5"/>
      <w:r w:rsidRPr="00415AB5">
        <w:t>Unit Sector</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Mobile crane.</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6" w:name="O_1240579"/>
      <w:bookmarkEnd w:id="6"/>
      <w:r w:rsidRPr="00415AB5">
        <w:t>Elements and Performance Criteria</w:t>
      </w:r>
    </w:p>
    <w:tbl>
      <w:tblPr>
        <w:tblW w:w="9497" w:type="dxa"/>
        <w:tblLayout w:type="fixed"/>
        <w:tblCellMar>
          <w:left w:w="62" w:type="dxa"/>
          <w:right w:w="62" w:type="dxa"/>
        </w:tblCellMar>
        <w:tblLook w:val="0000"/>
      </w:tblPr>
      <w:tblGrid>
        <w:gridCol w:w="682"/>
        <w:gridCol w:w="3276"/>
        <w:gridCol w:w="1417"/>
        <w:gridCol w:w="4122"/>
      </w:tblGrid>
      <w:tr w:rsidTr="00415AB5">
        <w:tblPrEx>
          <w:tblW w:w="9497" w:type="dxa"/>
          <w:tblLayout w:type="fixed"/>
          <w:tblCellMar>
            <w:left w:w="62" w:type="dxa"/>
            <w:right w:w="62" w:type="dxa"/>
          </w:tblCellMar>
          <w:tblLook w:val="0000"/>
        </w:tblPrEx>
        <w:tc>
          <w:tcPr>
            <w:tcW w:w="3958" w:type="dxa"/>
            <w:gridSpan w:val="2"/>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ELEMENTS</w:t>
            </w:r>
          </w:p>
        </w:tc>
        <w:tc>
          <w:tcPr>
            <w:tcW w:w="5539" w:type="dxa"/>
            <w:gridSpan w:val="2"/>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PERFORMANCE CRITERIA</w:t>
            </w:r>
          </w:p>
        </w:tc>
      </w:tr>
      <w:tr w:rsidTr="00415AB5">
        <w:tblPrEx>
          <w:tblW w:w="9497" w:type="dxa"/>
          <w:tblLayout w:type="fixed"/>
          <w:tblCellMar>
            <w:left w:w="62" w:type="dxa"/>
            <w:right w:w="62" w:type="dxa"/>
          </w:tblCellMar>
          <w:tblLook w:val="0000"/>
        </w:tblPrEx>
        <w:tc>
          <w:tcPr>
            <w:tcW w:w="3958" w:type="dxa"/>
            <w:gridSpan w:val="2"/>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Elements describe the essential outcomes.</w:t>
            </w:r>
          </w:p>
        </w:tc>
        <w:tc>
          <w:tcPr>
            <w:tcW w:w="5539" w:type="dxa"/>
            <w:gridSpan w:val="2"/>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Performance criteria describe the performance needed to demonstrate achievement of the element.</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1</w:t>
            </w:r>
          </w:p>
        </w:tc>
        <w:tc>
          <w:tcPr>
            <w:tcW w:w="3276"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Follow workplace and mobile crane safety procedures for hazard identification and risk control</w:t>
            </w: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1.1</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Mobile crane and workplace procedures for dealing with ac</w:t>
            </w:r>
            <w:r w:rsidRPr="00415AB5">
              <w:t>cidents, fire and emergencies are identified and followed</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1.2</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Mobile crane and workplace procedures for WHS/OHS and related work instructions for controlling risks in a workplace are accurately followed</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1.3</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Mobile crane hazards and site hazards in the workplace are identified and appropriate action is taken to report them and to minimise or eliminate risk to personnel, workplace and the environment</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1.4</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Safety regulations and established mobile crane and wo</w:t>
            </w:r>
            <w:r w:rsidRPr="00415AB5">
              <w:t>rkplace safety and hazard control practices and procedures are obtained, interpreted and applied to mobile crane operations</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1.5</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Procedures and precautions necessary for entry into confined spaces in the workplace are correctly followed, as required</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1.6</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Personal protective equipment (PPE) is correctly used in accordance with established safety practices and procedures</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1.7</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Established mobile crane and workplace emergency and contingency plans are followed in an emergency</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2</w:t>
            </w:r>
          </w:p>
        </w:tc>
        <w:tc>
          <w:tcPr>
            <w:tcW w:w="3276"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Contribute to arrangement</w:t>
            </w:r>
            <w:r w:rsidRPr="00415AB5">
              <w:rPr>
                <w:rStyle w:val="SpecialBold"/>
              </w:rPr>
              <w:t xml:space="preserve">s for managing mobile crane safety procedures and WHS/OHS </w:t>
            </w: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2.1</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Mobile crane safety hazards and WHS/OHS issues are identified and raised with designated personnel in accordance with workplace procedures and relevant WHS/OHS legislation</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2.2</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 xml:space="preserve">Contributions </w:t>
            </w:r>
            <w:r w:rsidRPr="00415AB5">
              <w:t xml:space="preserve">to WHS/OHS management in the workplace are made in accordance with workplace procedures and </w:t>
            </w:r>
            <w:r w:rsidRPr="00415AB5">
              <w:t>provisions of relevant legislation</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2.3</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Participative arrangements for mobile crane safety procedures and WHS/OHS management in the workplace are contributed to within relevant workplace procedures, scope of responsibilities and own competence</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3</w:t>
            </w:r>
          </w:p>
        </w:tc>
        <w:tc>
          <w:tcPr>
            <w:tcW w:w="3276"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Complete workplace and WHS/OHS records</w:t>
            </w: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3.1</w:t>
            </w:r>
          </w:p>
        </w:tc>
        <w:tc>
          <w:tcPr>
            <w:tcW w:w="4122"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Mobile crane and WHS/OHS records are completed in accordance with workplace requirements</w:t>
            </w:r>
          </w:p>
        </w:tc>
      </w:tr>
      <w:tr w:rsidTr="00415AB5">
        <w:tblPrEx>
          <w:tblW w:w="9497" w:type="dxa"/>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76" w:type="dxa"/>
            <w:tcBorders>
              <w:top w:val="nil"/>
              <w:left w:val="nil"/>
              <w:bottom w:val="nil"/>
              <w:right w:val="nil"/>
            </w:tcBorders>
            <w:tcMar>
              <w:top w:w="0" w:type="dxa"/>
              <w:left w:w="62" w:type="dxa"/>
              <w:bottom w:w="0" w:type="dxa"/>
              <w:right w:w="62" w:type="dxa"/>
            </w:tcMar>
          </w:tcPr>
          <w:p w:rsidR="00000000" w:rsidRPr="00415AB5">
            <w:pPr>
              <w:pStyle w:val="BodyText"/>
              <w:keepLines w:val="0"/>
              <w:spacing w:before="0" w:after="0"/>
            </w:pPr>
          </w:p>
        </w:tc>
        <w:tc>
          <w:tcPr>
            <w:tcW w:w="141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rPr>
                <w:rStyle w:val="SpecialBold"/>
              </w:rPr>
              <w:t>3.2</w:t>
            </w:r>
          </w:p>
        </w:tc>
        <w:tc>
          <w:tcPr>
            <w:tcW w:w="4122"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WHS/OHS records and legal requirements for maintaining records of occupational injury and diseases are followed</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7" w:name="O_1240578"/>
      <w:bookmarkEnd w:id="7"/>
      <w:r w:rsidRPr="00415AB5">
        <w:t>Foundation Skills</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Foundatio</w:t>
            </w:r>
            <w:r w:rsidRPr="00415AB5">
              <w:t>n skills essential to performance are explicit in the performance criteria of this unit of competency.</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8" w:name="O_1240577"/>
      <w:bookmarkEnd w:id="8"/>
      <w:r w:rsidRPr="00415AB5">
        <w:t>Range of Conditions</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Range is restricted to essential operating conditions and any other variables essential to the work environment.</w:t>
            </w:r>
          </w:p>
          <w:p w:rsidR="00000000" w:rsidRPr="00415AB5" w:rsidP="00415AB5">
            <w:pPr>
              <w:pStyle w:val="BodyText"/>
            </w:pPr>
            <w:r w:rsidRPr="00415AB5">
              <w:t>Non-essential conditions can be found in the TLI Transport and Logistics Training Package Companion Volume Implementation Guide.</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9" w:name="O_1240576"/>
      <w:bookmarkEnd w:id="9"/>
      <w:r w:rsidRPr="00415AB5">
        <w:t>Unit Mapping Information</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This unit replaces and is equivalent to TLIF3084A Follow mobile crane safety pro</w:t>
            </w:r>
            <w:r w:rsidRPr="00415AB5">
              <w:t>cedures.</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10" w:name="O_1240585"/>
      <w:bookmarkEnd w:id="10"/>
      <w:r w:rsidRPr="00415AB5">
        <w:t>Links</w:t>
      </w:r>
    </w:p>
    <w:p w:rsidR="00000000" w:rsidRPr="00415AB5" w:rsidP="0077629B">
      <w:pPr>
        <w:pStyle w:val="BodyText"/>
      </w:pPr>
      <w:r w:rsidRPr="00415A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83342">
        <w:rPr>
          <w:rStyle w:val="Hyperlink"/>
        </w:rPr>
        <w:t>https://vetnet.gov.au/Pages/TrainingDocs.aspx?q=df441c6e-213d-43e3-874c-0b3f7036d851</w:t>
      </w:r>
      <w:r>
        <w:fldChar w:fldCharType="end"/>
      </w:r>
    </w:p>
    <w:p w:rsidR="00000000" w:rsidRPr="00415AB5" w:rsidP="0077629B">
      <w:pPr>
        <w:pStyle w:val="BodyText"/>
        <w:sectPr w:rsidSect="00415AB5">
          <w:headerReference w:type="default" r:id="rId10"/>
          <w:footerReference w:type="default" r:id="rId11"/>
          <w:pgSz w:w="11908" w:h="16833"/>
          <w:pgMar w:top="1702" w:right="1418" w:bottom="1702" w:left="1418" w:header="992" w:footer="992" w:gutter="0"/>
          <w:cols w:space="720"/>
          <w:noEndnote/>
          <w:docGrid w:linePitch="299"/>
        </w:sectPr>
      </w:pPr>
    </w:p>
    <w:p w:rsidR="00000000" w:rsidRPr="00415AB5" w:rsidP="00415AB5">
      <w:pPr>
        <w:pStyle w:val="SuperHeading"/>
      </w:pPr>
      <w:r w:rsidRPr="00415AB5">
        <w:t>Assessment Requirements for</w:t>
      </w:r>
      <w:r w:rsidRPr="00415AB5">
        <w:t xml:space="preserve"> TLIF3084 Follow mobile crane safety procedures</w:t>
      </w:r>
    </w:p>
    <w:p w:rsidR="00000000" w:rsidRPr="00415AB5" w:rsidP="00415AB5">
      <w:pPr>
        <w:pStyle w:val="Heading1"/>
      </w:pPr>
      <w:bookmarkStart w:id="11" w:name="O_1240574"/>
      <w:bookmarkEnd w:id="11"/>
      <w:r w:rsidRPr="00415AB5">
        <w:t>Modification History</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Release 2</w:t>
            </w:r>
            <w:r w:rsidRPr="00415AB5">
              <w:t>: This is the second release of this unit of competency in the TLI Transport and Logistics Training Package:</w:t>
            </w:r>
          </w:p>
          <w:p w:rsidR="00000000" w:rsidRPr="00415AB5" w:rsidP="00415AB5">
            <w:pPr>
              <w:pStyle w:val="ListBullet"/>
            </w:pPr>
            <w:r w:rsidRPr="00415AB5">
              <w:t>Minor word change in Performance Evidence</w:t>
            </w:r>
          </w:p>
          <w:p w:rsidR="00000000" w:rsidRPr="00415AB5" w:rsidP="00415AB5">
            <w:pPr>
              <w:pStyle w:val="ListBullet"/>
            </w:pPr>
            <w:r w:rsidRPr="00415AB5">
              <w:t>Minor word change in Knowledge Evidence</w:t>
            </w:r>
          </w:p>
          <w:p w:rsidR="00000000" w:rsidP="00415AB5">
            <w:pPr>
              <w:pStyle w:val="ListBullet"/>
              <w:rPr>
                <w:lang w:val="en-NZ"/>
              </w:rPr>
            </w:pPr>
            <w:r w:rsidRPr="00415AB5">
              <w:t>Minor statement changes in Assessment Conditions.</w:t>
            </w:r>
          </w:p>
        </w:tc>
      </w:tr>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rPr>
                <w:rStyle w:val="SpecialBold"/>
              </w:rPr>
              <w:t>Release 1</w:t>
            </w:r>
            <w:r w:rsidRPr="00415AB5">
              <w:t>. This is the first release of this unit of competency in the TLI Transport and Logistics Training Package.</w:t>
            </w:r>
          </w:p>
        </w:tc>
      </w:tr>
    </w:tbl>
    <w:p w:rsidR="0077629B" w:rsidP="00415AB5">
      <w:pPr>
        <w:pStyle w:val="NoPaddingFontSize1"/>
      </w:pPr>
    </w:p>
    <w:p w:rsidR="0077629B" w:rsidP="00415AB5">
      <w:pPr>
        <w:pStyle w:val="NoPaddingFontSize1"/>
      </w:pPr>
    </w:p>
    <w:p w:rsidR="00000000" w:rsidRPr="00415AB5" w:rsidP="00415AB5">
      <w:pPr>
        <w:pStyle w:val="Heading1"/>
      </w:pPr>
      <w:bookmarkStart w:id="12" w:name="O_1240573"/>
      <w:bookmarkEnd w:id="12"/>
      <w:r w:rsidRPr="00415AB5">
        <w:t>Performance Evidence</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Evide</w:t>
            </w:r>
            <w:r w:rsidRPr="00415AB5">
              <w:t>nce required to demonstrate competence in this unit must be relevant to and satisfy all of the requirements of the elements and performance criteria on at least one occasion and include:</w:t>
            </w:r>
          </w:p>
        </w:tc>
      </w:tr>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ListBullet"/>
            </w:pPr>
            <w:r w:rsidRPr="00415AB5">
              <w:t>applying fatigue management techniques</w:t>
            </w:r>
          </w:p>
          <w:p w:rsidR="00000000" w:rsidRPr="00415AB5" w:rsidP="00415AB5">
            <w:pPr>
              <w:pStyle w:val="ListBullet"/>
            </w:pPr>
            <w:r w:rsidRPr="00415AB5">
              <w:t>applying mobile crane and work health and safety WHS/occupational health and safety (OHS) recording procedures in accordance with workplace requirements</w:t>
            </w:r>
          </w:p>
          <w:p w:rsidR="00000000" w:rsidRPr="00415AB5" w:rsidP="00415AB5">
            <w:pPr>
              <w:pStyle w:val="ListBullet"/>
            </w:pPr>
            <w:r w:rsidRPr="00415AB5">
              <w:t xml:space="preserve">applying precautions and required actions to minimise, control or eliminate identified hazards </w:t>
            </w:r>
          </w:p>
          <w:p w:rsidR="00000000" w:rsidRPr="00415AB5" w:rsidP="00415AB5">
            <w:pPr>
              <w:pStyle w:val="ListBullet"/>
            </w:pPr>
            <w:r w:rsidRPr="00415AB5">
              <w:t>applyin</w:t>
            </w:r>
            <w:r w:rsidRPr="00415AB5">
              <w:t xml:space="preserve">g specific crane legislation, mobile crane safety procedures and workplace procedures </w:t>
            </w:r>
          </w:p>
          <w:p w:rsidR="00000000" w:rsidRPr="00415AB5" w:rsidP="00415AB5">
            <w:pPr>
              <w:pStyle w:val="ListBullet"/>
            </w:pPr>
            <w:r w:rsidRPr="00415AB5">
              <w:t xml:space="preserve">communicating effectively and working collaboratively with others </w:t>
            </w:r>
          </w:p>
          <w:p w:rsidR="00000000" w:rsidRPr="00415AB5" w:rsidP="00415AB5">
            <w:pPr>
              <w:pStyle w:val="ListBullet"/>
            </w:pPr>
            <w:r w:rsidRPr="00415AB5">
              <w:t xml:space="preserve">completing relevant documentation </w:t>
            </w:r>
          </w:p>
          <w:p w:rsidR="00000000" w:rsidRPr="00415AB5" w:rsidP="00415AB5">
            <w:pPr>
              <w:pStyle w:val="ListBullet"/>
            </w:pPr>
            <w:r w:rsidRPr="00415AB5">
              <w:t>estimating the size, shape and special requirements of loads</w:t>
            </w:r>
          </w:p>
          <w:p w:rsidR="00000000" w:rsidRPr="00415AB5" w:rsidP="00415AB5">
            <w:pPr>
              <w:pStyle w:val="ListBullet"/>
            </w:pPr>
            <w:r w:rsidRPr="00415AB5">
              <w:t>follow</w:t>
            </w:r>
            <w:r w:rsidRPr="00415AB5">
              <w:t>ing procedures for identifying mobile crane safety hazards and WHS/OHS issues</w:t>
            </w:r>
          </w:p>
          <w:p w:rsidR="00000000" w:rsidRPr="00415AB5" w:rsidP="00415AB5">
            <w:pPr>
              <w:pStyle w:val="ListBullet"/>
            </w:pPr>
            <w:r w:rsidRPr="00415AB5">
              <w:t>identifying containers and goods coding in compliance with dangerous goods systems and relevant regulatory requirements</w:t>
            </w:r>
          </w:p>
          <w:p w:rsidR="00000000" w:rsidRPr="00415AB5" w:rsidP="00415AB5">
            <w:pPr>
              <w:pStyle w:val="ListBullet"/>
            </w:pPr>
            <w:r w:rsidRPr="00415AB5">
              <w:t>interpreting and following operational instructions and pr</w:t>
            </w:r>
            <w:r w:rsidRPr="00415AB5">
              <w:t>ioritising work</w:t>
            </w:r>
          </w:p>
          <w:p w:rsidR="00000000" w:rsidRPr="00415AB5" w:rsidP="00415AB5">
            <w:pPr>
              <w:pStyle w:val="ListBullet"/>
            </w:pPr>
            <w:r w:rsidRPr="00415AB5">
              <w:t>modifying activities depending on operational contingencies, risk situations and environments</w:t>
            </w:r>
          </w:p>
          <w:p w:rsidR="00000000" w:rsidRPr="00415AB5" w:rsidP="00415AB5">
            <w:pPr>
              <w:pStyle w:val="ListBullet"/>
            </w:pPr>
            <w:r w:rsidRPr="00415AB5">
              <w:t>monitoring work activities in terms of planned schedule</w:t>
            </w:r>
          </w:p>
          <w:p w:rsidR="00000000" w:rsidRPr="00415AB5" w:rsidP="00415AB5">
            <w:pPr>
              <w:pStyle w:val="ListBullet"/>
            </w:pPr>
            <w:r w:rsidRPr="00415AB5">
              <w:t>reading, interpreting and following relevant instructions, procedures, information and sig</w:t>
            </w:r>
            <w:r w:rsidRPr="00415AB5">
              <w:t xml:space="preserve">ns </w:t>
            </w:r>
          </w:p>
          <w:p w:rsidR="00000000" w:rsidRPr="00415AB5" w:rsidP="00415AB5">
            <w:pPr>
              <w:pStyle w:val="ListBullet"/>
            </w:pPr>
            <w:r w:rsidRPr="00415AB5">
              <w:t>reporting and/or rectifying identified problems, faults or malfunctions promptly in accordance with regulatory requirements and workplace procedures</w:t>
            </w:r>
          </w:p>
          <w:p w:rsidR="00000000" w:rsidRPr="00415AB5" w:rsidP="00415AB5">
            <w:pPr>
              <w:pStyle w:val="ListBullet"/>
            </w:pPr>
            <w:r w:rsidRPr="00415AB5">
              <w:t>selecting and using required personal protectiv</w:t>
            </w:r>
            <w:r w:rsidRPr="00415AB5">
              <w:t>e equipment (PPE) conforming to industry and WHS/OHS standards</w:t>
            </w:r>
          </w:p>
          <w:p w:rsidR="00000000" w:rsidRPr="00415AB5" w:rsidP="00415AB5">
            <w:pPr>
              <w:pStyle w:val="ListBullet"/>
            </w:pPr>
            <w:r w:rsidRPr="00415AB5">
              <w:t xml:space="preserve">taking appropriate actions to report identified mobile crane and site hazards in the workplace </w:t>
            </w:r>
          </w:p>
          <w:p w:rsidR="00000000" w:rsidRPr="00415AB5" w:rsidP="00415AB5">
            <w:pPr>
              <w:pStyle w:val="ListBullet"/>
            </w:pPr>
            <w:r w:rsidRPr="00415AB5">
              <w:t>working systematically with required attention to detail without injury to self or others, or dam</w:t>
            </w:r>
            <w:r w:rsidRPr="00415AB5">
              <w:t>age to goods or equipment.</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13" w:name="O_1240572"/>
      <w:bookmarkEnd w:id="13"/>
      <w:r w:rsidRPr="00415AB5">
        <w:t>Knowledge Evidence</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5AB5">
            <w:pPr>
              <w:pStyle w:val="BodyText"/>
              <w:rPr>
                <w:lang w:val="en-NZ"/>
              </w:rPr>
            </w:pPr>
            <w:r w:rsidRPr="00415AB5">
              <w:t>Evidence required to demonstrate competence in this unit must be relevant to and satisfy all of the requirements of the elements and performance criteria and include knowledge of:</w:t>
            </w:r>
          </w:p>
        </w:tc>
      </w:tr>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ListBullet"/>
            </w:pPr>
            <w:r w:rsidRPr="00415AB5">
              <w:t>hazards</w:t>
            </w:r>
            <w:r w:rsidRPr="00415AB5">
              <w:t xml:space="preserve"> associated with mobile crane operations on a worksite</w:t>
            </w:r>
          </w:p>
          <w:p w:rsidR="00000000" w:rsidRPr="00415AB5" w:rsidP="00415AB5">
            <w:pPr>
              <w:pStyle w:val="ListBullet"/>
            </w:pPr>
            <w:r w:rsidRPr="00415AB5">
              <w:t>how to handle broken or damaged equipment</w:t>
            </w:r>
          </w:p>
          <w:p w:rsidR="00000000" w:rsidRPr="00415AB5" w:rsidP="00415AB5">
            <w:pPr>
              <w:pStyle w:val="ListBullet"/>
            </w:pPr>
            <w:r w:rsidRPr="00415AB5">
              <w:t>location and use of safety alarms, emergency shut-off systems and emergency communications systems</w:t>
            </w:r>
          </w:p>
          <w:p w:rsidR="00000000" w:rsidRPr="00415AB5" w:rsidP="00415AB5">
            <w:pPr>
              <w:pStyle w:val="ListBullet"/>
            </w:pPr>
            <w:r w:rsidRPr="00415AB5">
              <w:t>manual and mechanically assisted lifting and load shifting procedures</w:t>
            </w:r>
          </w:p>
          <w:p w:rsidR="00000000" w:rsidRPr="00415AB5" w:rsidP="00415AB5">
            <w:pPr>
              <w:pStyle w:val="ListBullet"/>
            </w:pPr>
            <w:r w:rsidRPr="00415AB5">
              <w:t>mobile crane and workplace emergency and evacuation procedures</w:t>
            </w:r>
          </w:p>
          <w:p w:rsidR="00000000" w:rsidRPr="00415AB5" w:rsidP="00415AB5">
            <w:pPr>
              <w:pStyle w:val="ListBullet"/>
            </w:pPr>
            <w:r w:rsidRPr="00415AB5">
              <w:t>relevant dangerous goods systems and dangerous goods regulation requirements including:</w:t>
            </w:r>
          </w:p>
          <w:p w:rsidR="00000000" w:rsidRPr="00415AB5" w:rsidP="00415AB5">
            <w:pPr>
              <w:pStyle w:val="ListBullet2"/>
            </w:pPr>
            <w:r w:rsidRPr="00415AB5">
              <w:t>storage, handling and use of hazar</w:t>
            </w:r>
            <w:r w:rsidRPr="00415AB5">
              <w:t>dous substances</w:t>
            </w:r>
          </w:p>
          <w:p w:rsidR="00000000" w:rsidRPr="00415AB5" w:rsidP="00415AB5">
            <w:pPr>
              <w:pStyle w:val="ListBullet2"/>
            </w:pPr>
            <w:r w:rsidRPr="00415AB5">
              <w:t>terms used in safety data sheets (SDS)</w:t>
            </w:r>
          </w:p>
          <w:p w:rsidR="00000000" w:rsidRPr="00415AB5" w:rsidP="00415AB5">
            <w:pPr>
              <w:pStyle w:val="ListBullet"/>
            </w:pPr>
            <w:r w:rsidRPr="00415AB5">
              <w:t>relevant mobile crane safety workplace procedures</w:t>
            </w:r>
          </w:p>
          <w:p w:rsidR="00000000" w:rsidRPr="00415AB5" w:rsidP="00415AB5">
            <w:pPr>
              <w:pStyle w:val="ListBullet"/>
            </w:pPr>
            <w:r w:rsidRPr="00415AB5">
              <w:t xml:space="preserve">relevant WHS/OHS procedures and guidelines </w:t>
            </w:r>
          </w:p>
          <w:p w:rsidR="00000000" w:rsidRPr="00415AB5" w:rsidP="00415AB5">
            <w:pPr>
              <w:pStyle w:val="ListBullet"/>
            </w:pPr>
            <w:r w:rsidRPr="00415AB5">
              <w:t>reporting procedures for unsafe situations, fire hazards, broken or damaged equipment or fittings, sicknes</w:t>
            </w:r>
            <w:r w:rsidRPr="00415AB5">
              <w:t>s and accidents</w:t>
            </w:r>
          </w:p>
          <w:p w:rsidR="00000000" w:rsidRPr="00415AB5" w:rsidP="00415AB5">
            <w:pPr>
              <w:pStyle w:val="ListBullet"/>
            </w:pPr>
            <w:r w:rsidRPr="00415AB5">
              <w:t>risks associated with mobile cranes, and related precautions to control the risk</w:t>
            </w:r>
          </w:p>
          <w:p w:rsidR="00000000" w:rsidRPr="00415AB5" w:rsidP="00415AB5">
            <w:pPr>
              <w:pStyle w:val="ListBullet"/>
            </w:pPr>
            <w:r w:rsidRPr="00415AB5">
              <w:t>risks associated with multiple crane operations</w:t>
            </w:r>
          </w:p>
          <w:p w:rsidR="00000000" w:rsidRPr="00415AB5" w:rsidP="00415AB5">
            <w:pPr>
              <w:pStyle w:val="ListBullet"/>
            </w:pPr>
            <w:r w:rsidRPr="00415AB5">
              <w:t>signs and signals used for warnings.</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14" w:name="O_1240571"/>
      <w:bookmarkEnd w:id="14"/>
      <w:r w:rsidRPr="00415AB5">
        <w:t>Assessment Conditions</w:t>
      </w:r>
    </w:p>
    <w:tbl>
      <w:tblPr>
        <w:tblW w:w="9497" w:type="dxa"/>
        <w:tblLayout w:type="fixed"/>
        <w:tblCellMar>
          <w:left w:w="62" w:type="dxa"/>
          <w:right w:w="62" w:type="dxa"/>
        </w:tblCellMar>
        <w:tblLook w:val="0000"/>
      </w:tblPr>
      <w:tblGrid>
        <w:gridCol w:w="9497"/>
      </w:tblGrid>
      <w:tr w:rsidTr="0041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5AB5" w:rsidP="00415AB5">
            <w:pPr>
              <w:pStyle w:val="BodyText"/>
            </w:pPr>
            <w:r w:rsidRPr="00415AB5">
              <w:t xml:space="preserve">Assessors must hold credentials specified within the Standards for Registered Training Organisations current at the time of assessment. </w:t>
            </w:r>
          </w:p>
          <w:p w:rsidR="00000000" w:rsidRPr="00415AB5" w:rsidP="00415AB5">
            <w:pPr>
              <w:pStyle w:val="BodyText"/>
            </w:pPr>
            <w:r w:rsidRPr="00415AB5">
              <w:t>Assessment must satisfy the Principles of Assessment and Rules of Evidence and all regulatory requirements included wit</w:t>
            </w:r>
            <w:r w:rsidRPr="00415AB5">
              <w:t>hin the Standards for Registered Training Organisations current at the time of assessment.</w:t>
            </w:r>
          </w:p>
          <w:p w:rsidR="00000000" w:rsidRPr="00415AB5" w:rsidP="00415AB5">
            <w:pPr>
              <w:pStyle w:val="BodyText"/>
            </w:pPr>
            <w:r w:rsidRPr="00415AB5">
              <w:t>Assessment must occur in workplace operational situations where it is appropriate to do so; where this is not appropriate, assessment must occur in simulated workpla</w:t>
            </w:r>
            <w:r w:rsidRPr="00415AB5">
              <w:t xml:space="preserve">ce operational situations that replicate workplace conditions and include restricted spaces, exposed conditions and controlled or open environments. </w:t>
            </w:r>
          </w:p>
          <w:p w:rsidR="00000000" w:rsidRPr="00415AB5" w:rsidP="00415AB5">
            <w:pPr>
              <w:pStyle w:val="BodyText"/>
            </w:pPr>
            <w:r w:rsidRPr="00415AB5">
              <w:t>Assessment processes and techniques must be appropriate to the language, literacy and numeracy requirement</w:t>
            </w:r>
            <w:r w:rsidRPr="00415AB5">
              <w:t>s of the work being performed and the needs of the candidate.</w:t>
            </w:r>
          </w:p>
          <w:p w:rsidR="00000000" w:rsidRPr="00415AB5" w:rsidP="00415AB5">
            <w:pPr>
              <w:pStyle w:val="BodyText"/>
            </w:pPr>
            <w:r w:rsidRPr="00415AB5">
              <w:t>Resources for assessment must include access to:</w:t>
            </w:r>
          </w:p>
          <w:p w:rsidR="00000000" w:rsidRPr="00415AB5" w:rsidP="00415AB5">
            <w:pPr>
              <w:pStyle w:val="ListBullet"/>
            </w:pPr>
            <w:r w:rsidRPr="00415AB5">
              <w:t>a range of relevant exercises, case studies and/or simulations</w:t>
            </w:r>
          </w:p>
          <w:p w:rsidR="00000000" w:rsidRPr="00415AB5" w:rsidP="00415AB5">
            <w:pPr>
              <w:pStyle w:val="ListBullet"/>
            </w:pPr>
            <w:r w:rsidRPr="00415AB5">
              <w:t>applicable documentation including workplace procedures, regulations, codes of pr</w:t>
            </w:r>
            <w:r w:rsidRPr="00415AB5">
              <w:t>actice and operation manuals, including relevant:</w:t>
            </w:r>
          </w:p>
          <w:p w:rsidR="00000000" w:rsidRPr="00415AB5" w:rsidP="00415AB5">
            <w:pPr>
              <w:pStyle w:val="ListBullet2"/>
            </w:pPr>
            <w:r w:rsidRPr="00415AB5">
              <w:t>Australian Standards</w:t>
            </w:r>
          </w:p>
          <w:p w:rsidR="00000000" w:rsidRPr="00415AB5" w:rsidP="00415AB5">
            <w:pPr>
              <w:pStyle w:val="ListBullet2"/>
            </w:pPr>
            <w:r w:rsidRPr="00415AB5">
              <w:t>general duty of care under WHS/OHS legislation</w:t>
            </w:r>
          </w:p>
          <w:p w:rsidR="00000000" w:rsidRPr="00415AB5" w:rsidP="00415AB5">
            <w:pPr>
              <w:pStyle w:val="ListBullet2"/>
            </w:pPr>
            <w:r w:rsidRPr="00415AB5">
              <w:t>mobile crane codes of practice</w:t>
            </w:r>
          </w:p>
          <w:p w:rsidR="00000000" w:rsidRPr="00415AB5" w:rsidP="00415AB5">
            <w:pPr>
              <w:pStyle w:val="ListBullet2"/>
            </w:pPr>
            <w:r w:rsidRPr="00415AB5">
              <w:t>state/territory WHS/OHS legislation and safety codes, including manual handling, noise, confined spaces, smoking and workplace ergonomics</w:t>
            </w:r>
          </w:p>
          <w:p w:rsidR="00000000" w:rsidRPr="00415AB5" w:rsidP="00415AB5">
            <w:pPr>
              <w:pStyle w:val="ListBullet2"/>
            </w:pPr>
            <w:r w:rsidRPr="00415AB5">
              <w:t>workplace relations regulations</w:t>
            </w:r>
          </w:p>
          <w:p w:rsidR="00000000" w:rsidRPr="00415AB5" w:rsidP="00415AB5">
            <w:pPr>
              <w:pStyle w:val="ListBullet2"/>
            </w:pPr>
            <w:r w:rsidRPr="00415AB5">
              <w:t>workers’ compensation regulations</w:t>
            </w:r>
          </w:p>
          <w:p w:rsidR="00000000" w:rsidRPr="00415AB5" w:rsidP="00415AB5">
            <w:pPr>
              <w:pStyle w:val="ListBullet"/>
            </w:pPr>
            <w:r w:rsidRPr="00415AB5">
              <w:t>dangerous goods regulations</w:t>
            </w:r>
          </w:p>
          <w:p w:rsidR="00000000" w:rsidRPr="00415AB5" w:rsidP="00415AB5">
            <w:pPr>
              <w:pStyle w:val="ListBullet"/>
            </w:pPr>
            <w:r w:rsidRPr="00415AB5">
              <w:t>personal protective equ</w:t>
            </w:r>
            <w:r w:rsidRPr="00415AB5">
              <w:t xml:space="preserve">ipment (PPE) including: </w:t>
            </w:r>
          </w:p>
          <w:p w:rsidR="00000000" w:rsidRPr="00415AB5" w:rsidP="00415AB5">
            <w:pPr>
              <w:pStyle w:val="ListBullet2"/>
            </w:pPr>
            <w:r w:rsidRPr="00415AB5">
              <w:t>gloves</w:t>
            </w:r>
          </w:p>
          <w:p w:rsidR="00000000" w:rsidRPr="00415AB5" w:rsidP="00415AB5">
            <w:pPr>
              <w:pStyle w:val="ListBullet2"/>
            </w:pPr>
            <w:r w:rsidRPr="00415AB5">
              <w:t>safety headwear and footwear</w:t>
            </w:r>
          </w:p>
          <w:p w:rsidR="00000000" w:rsidRPr="00415AB5" w:rsidP="00415AB5">
            <w:pPr>
              <w:pStyle w:val="ListBullet2"/>
            </w:pPr>
            <w:r w:rsidRPr="00415AB5">
              <w:t>safety glasses</w:t>
            </w:r>
          </w:p>
          <w:p w:rsidR="00000000" w:rsidRPr="00415AB5" w:rsidP="00415AB5">
            <w:pPr>
              <w:pStyle w:val="ListBullet2"/>
            </w:pPr>
            <w:r w:rsidRPr="00415AB5">
              <w:t>two-way radios</w:t>
            </w:r>
          </w:p>
          <w:p w:rsidR="00000000" w:rsidRPr="00415AB5" w:rsidP="00415AB5">
            <w:pPr>
              <w:pStyle w:val="ListBullet2"/>
            </w:pPr>
            <w:r w:rsidRPr="00415AB5">
              <w:t>high visibility clothing</w:t>
            </w:r>
          </w:p>
          <w:p w:rsidR="00000000" w:rsidRPr="00415AB5" w:rsidP="00415AB5">
            <w:pPr>
              <w:pStyle w:val="ListBullet"/>
            </w:pPr>
            <w:r w:rsidRPr="00415AB5">
              <w:t>relevant materials, tools and equipment currently used in industry.</w:t>
            </w:r>
          </w:p>
        </w:tc>
      </w:tr>
    </w:tbl>
    <w:p w:rsidR="00000000" w:rsidRPr="00415AB5" w:rsidP="00415AB5">
      <w:pPr>
        <w:pStyle w:val="NoPaddingFontSize1"/>
      </w:pPr>
    </w:p>
    <w:p w:rsidR="00000000" w:rsidRPr="00415AB5" w:rsidP="00415AB5">
      <w:pPr>
        <w:pStyle w:val="AllowPageBreak"/>
      </w:pPr>
    </w:p>
    <w:p w:rsidR="00000000" w:rsidRPr="00415AB5" w:rsidP="00415AB5">
      <w:pPr>
        <w:pStyle w:val="Heading1"/>
      </w:pPr>
      <w:bookmarkStart w:id="15" w:name="O_1240586"/>
      <w:bookmarkEnd w:id="15"/>
      <w:r w:rsidRPr="00415AB5">
        <w:t>Links</w:t>
      </w:r>
    </w:p>
    <w:p w:rsidR="00000000" w:rsidRPr="00415AB5" w:rsidP="0077629B">
      <w:pPr>
        <w:pStyle w:val="BodyText"/>
      </w:pPr>
      <w:r w:rsidRPr="00415AB5">
        <w:t>Companion Volume implemen</w:t>
      </w:r>
      <w:r w:rsidRPr="00415AB5">
        <w:t xml:space="preserve">tation guides are found in VETNet - </w:t>
      </w:r>
      <w:r>
        <w:fldChar w:fldCharType="begin"/>
      </w:r>
      <w:r>
        <w:instrText xml:space="preserve"> HYPERLINK "https://vetnet.gov.au/Pages/TrainingDocs.aspx?q=df441c6e-213d-43e3-874c-0b3f7036d851" </w:instrText>
      </w:r>
      <w:r>
        <w:fldChar w:fldCharType="separate"/>
      </w:r>
      <w:r w:rsidRPr="00483342">
        <w:rPr>
          <w:rStyle w:val="Hyperlink"/>
        </w:rPr>
        <w:t>https://vetnet.gov.au/Pages/TrainingDocs.aspx?q=df441c6e-213d-43e3-874c-0b3f7036d851</w:t>
      </w:r>
      <w:r>
        <w:fldChar w:fldCharType="end"/>
      </w:r>
    </w:p>
    <w:p w:rsidR="00000000" w:rsidRPr="00415AB5" w:rsidP="00415AB5"/>
    <w:sectPr w:rsidSect="00415A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B5" w:rsidRPr="0077629B" w:rsidP="00776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9B" w:rsidP="00415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629B" w:rsidP="00415A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7629B" w:rsidP="00415A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B5" w:rsidP="00415AB5">
    <w:pPr>
      <w:pStyle w:val="Footer"/>
      <w:framePr w:wrap="around"/>
    </w:pPr>
    <w:r>
      <w:fldChar w:fldCharType="begin"/>
    </w:r>
    <w:r>
      <w:instrText xml:space="preserve"> DOCPROPERTY  Subject  \* MERGEFORMAT </w:instrText>
    </w:r>
    <w:r>
      <w:fldChar w:fldCharType="separate"/>
    </w:r>
    <w:r w:rsidR="0077629B">
      <w:t>Approved</w:t>
    </w:r>
    <w:r w:rsidR="0077629B">
      <w:fldChar w:fldCharType="end"/>
    </w:r>
    <w:r>
      <w:tab/>
      <w:t xml:space="preserve">Page </w:t>
    </w:r>
    <w:r>
      <w:fldChar w:fldCharType="begin"/>
    </w:r>
    <w:r>
      <w:instrText xml:space="preserve"> PAGE  \* Arabic  \* MERGEFORMAT </w:instrText>
    </w:r>
    <w:r>
      <w:fldChar w:fldCharType="separate"/>
    </w:r>
    <w:r w:rsidR="007762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629B">
      <w:rPr>
        <w:noProof/>
      </w:rPr>
      <w:t>5</w:t>
    </w:r>
    <w:r>
      <w:rPr>
        <w:noProof/>
      </w:rPr>
      <w:fldChar w:fldCharType="end"/>
    </w:r>
  </w:p>
  <w:p w:rsidR="00415AB5" w:rsidP="00415AB5">
    <w:pPr>
      <w:pStyle w:val="Footer"/>
      <w:framePr w:wrap="around"/>
    </w:pPr>
    <w:r>
      <w:t xml:space="preserve">© Commonwealth of Australia, </w:t>
    </w:r>
    <w:r>
      <w:fldChar w:fldCharType="begin"/>
    </w:r>
    <w:r>
      <w:instrText xml:space="preserve"> DATE  \@ "yyyy"  \* MERGEFORMAT </w:instrText>
    </w:r>
    <w:r>
      <w:fldChar w:fldCharType="separate"/>
    </w:r>
    <w:r w:rsidR="0077629B">
      <w:rPr>
        <w:noProof/>
      </w:rPr>
      <w:t>2025</w:t>
    </w:r>
    <w:r>
      <w:fldChar w:fldCharType="end"/>
    </w:r>
    <w:r>
      <w:tab/>
    </w:r>
    <w:r>
      <w:fldChar w:fldCharType="begin"/>
    </w:r>
    <w:r>
      <w:instrText xml:space="preserve"> DOCPROPERTY  Author  \* MERGEFORMAT </w:instrText>
    </w:r>
    <w:r>
      <w:fldChar w:fldCharType="separate"/>
    </w:r>
    <w:r w:rsidR="0077629B">
      <w:t>Industry Skills Australia</w:t>
    </w:r>
    <w:r w:rsidR="0077629B">
      <w:fldChar w:fldCharType="end"/>
    </w:r>
  </w:p>
  <w:p w:rsidR="00415AB5" w:rsidP="00415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AB5" w:rsidRPr="0077629B" w:rsidP="00776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9B" w:rsidRPr="002D2AF8" w:rsidP="00415AB5">
    <w:pPr>
      <w:pStyle w:val="Header"/>
      <w:framePr w:wrap="around"/>
    </w:pPr>
    <w:r>
      <w:fldChar w:fldCharType="begin"/>
    </w:r>
    <w:r>
      <w:instrText xml:space="preserve"> TITLE   \* MERGEFORMAT </w:instrText>
    </w:r>
    <w:r>
      <w:fldChar w:fldCharType="separate"/>
    </w:r>
    <w:r>
      <w:t>TLIF3084 Follow mobile crane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629B" w:rsidP="00415A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B5" w:rsidRPr="002D2AF8" w:rsidP="00415AB5">
    <w:pPr>
      <w:pStyle w:val="Header"/>
      <w:framePr w:wrap="around"/>
    </w:pPr>
    <w:r>
      <w:fldChar w:fldCharType="begin"/>
    </w:r>
    <w:r>
      <w:instrText xml:space="preserve"> TITLE   \* MERGEFORMAT </w:instrText>
    </w:r>
    <w:r>
      <w:fldChar w:fldCharType="separate"/>
    </w:r>
    <w:r w:rsidR="0077629B">
      <w:t>TLIF3084 Follow mobile crane safety procedures</w:t>
    </w:r>
    <w:r w:rsidR="0077629B">
      <w:fldChar w:fldCharType="end"/>
    </w:r>
    <w:r>
      <w:tab/>
      <w:t xml:space="preserve">Date this document was generated: </w:t>
    </w:r>
    <w:r>
      <w:fldChar w:fldCharType="begin"/>
    </w:r>
    <w:r>
      <w:instrText xml:space="preserve"> CREATEDATE  \@ "d MMMM yyyy"  \* MERGEFORMAT </w:instrText>
    </w:r>
    <w:r>
      <w:fldChar w:fldCharType="separate"/>
    </w:r>
    <w:r w:rsidR="0077629B">
      <w:rPr>
        <w:noProof/>
      </w:rPr>
      <w:t>1 March 2025</w:t>
    </w:r>
    <w:r>
      <w:fldChar w:fldCharType="end"/>
    </w:r>
  </w:p>
  <w:p w:rsidR="00415AB5" w:rsidP="00415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04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21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0D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AB5"/>
    <w:pPr>
      <w:spacing w:before="360" w:after="60"/>
      <w:outlineLvl w:val="0"/>
    </w:pPr>
    <w:rPr>
      <w:sz w:val="32"/>
    </w:rPr>
  </w:style>
  <w:style w:type="paragraph" w:styleId="Heading2">
    <w:name w:val="heading 2"/>
    <w:basedOn w:val="HeadingBase"/>
    <w:next w:val="BodyText"/>
    <w:link w:val="Heading2Char"/>
    <w:qFormat/>
    <w:rsid w:val="00415AB5"/>
    <w:pPr>
      <w:keepLines/>
      <w:spacing w:before="240" w:after="120"/>
      <w:outlineLvl w:val="1"/>
    </w:pPr>
    <w:rPr>
      <w:sz w:val="28"/>
      <w:szCs w:val="40"/>
    </w:rPr>
  </w:style>
  <w:style w:type="paragraph" w:styleId="Heading3">
    <w:name w:val="heading 3"/>
    <w:basedOn w:val="HeadingBase"/>
    <w:next w:val="BodyText"/>
    <w:link w:val="Heading3Char"/>
    <w:qFormat/>
    <w:rsid w:val="00415AB5"/>
    <w:pPr>
      <w:spacing w:before="180" w:after="120"/>
      <w:outlineLvl w:val="2"/>
    </w:pPr>
    <w:rPr>
      <w:spacing w:val="-10"/>
      <w:kern w:val="32"/>
    </w:rPr>
  </w:style>
  <w:style w:type="paragraph" w:styleId="Heading4">
    <w:name w:val="heading 4"/>
    <w:basedOn w:val="HeadingBase"/>
    <w:next w:val="BodyText"/>
    <w:link w:val="Heading4Char"/>
    <w:qFormat/>
    <w:rsid w:val="00415AB5"/>
    <w:pPr>
      <w:spacing w:before="160" w:after="120"/>
      <w:outlineLvl w:val="3"/>
    </w:pPr>
    <w:rPr>
      <w:sz w:val="22"/>
    </w:rPr>
  </w:style>
  <w:style w:type="paragraph" w:styleId="Heading5">
    <w:name w:val="heading 5"/>
    <w:basedOn w:val="HeadingBase"/>
    <w:next w:val="Normal"/>
    <w:link w:val="Heading5Char"/>
    <w:qFormat/>
    <w:rsid w:val="00415AB5"/>
    <w:pPr>
      <w:spacing w:before="80"/>
      <w:outlineLvl w:val="4"/>
    </w:pPr>
    <w:rPr>
      <w:color w:val="918585"/>
      <w:sz w:val="20"/>
    </w:rPr>
  </w:style>
  <w:style w:type="paragraph" w:styleId="Heading6">
    <w:name w:val="heading 6"/>
    <w:basedOn w:val="HeadingBase"/>
    <w:next w:val="Normal"/>
    <w:link w:val="Heading6Char"/>
    <w:qFormat/>
    <w:rsid w:val="00415AB5"/>
    <w:pPr>
      <w:spacing w:before="60"/>
      <w:outlineLvl w:val="5"/>
    </w:pPr>
    <w:rPr>
      <w:color w:val="918585"/>
      <w:sz w:val="20"/>
    </w:rPr>
  </w:style>
  <w:style w:type="paragraph" w:styleId="Heading7">
    <w:name w:val="heading 7"/>
    <w:basedOn w:val="Normal"/>
    <w:next w:val="Normal"/>
    <w:link w:val="Heading7Char"/>
    <w:qFormat/>
    <w:rsid w:val="00415AB5"/>
    <w:pPr>
      <w:ind w:left="720"/>
      <w:outlineLvl w:val="6"/>
    </w:pPr>
    <w:rPr>
      <w:i/>
    </w:rPr>
  </w:style>
  <w:style w:type="paragraph" w:styleId="Heading8">
    <w:name w:val="heading 8"/>
    <w:basedOn w:val="Normal"/>
    <w:next w:val="Normal"/>
    <w:link w:val="Heading8Char"/>
    <w:qFormat/>
    <w:rsid w:val="00415AB5"/>
    <w:pPr>
      <w:ind w:left="720"/>
      <w:outlineLvl w:val="7"/>
    </w:pPr>
    <w:rPr>
      <w:i/>
    </w:rPr>
  </w:style>
  <w:style w:type="paragraph" w:styleId="Heading9">
    <w:name w:val="heading 9"/>
    <w:basedOn w:val="Normal"/>
    <w:next w:val="Normal"/>
    <w:link w:val="Heading9Char"/>
    <w:qFormat/>
    <w:rsid w:val="00415AB5"/>
    <w:pPr>
      <w:ind w:left="720"/>
      <w:outlineLvl w:val="8"/>
    </w:pPr>
    <w:rPr>
      <w:i/>
    </w:rPr>
  </w:style>
  <w:style w:type="character" w:default="1" w:styleId="DefaultParagraphFont">
    <w:name w:val="Default Paragraph Font"/>
    <w:uiPriority w:val="1"/>
    <w:unhideWhenUsed/>
    <w:rsid w:val="00415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AB5"/>
  </w:style>
  <w:style w:type="character" w:customStyle="1" w:styleId="Heading1Char">
    <w:name w:val="Heading 1 Char"/>
    <w:basedOn w:val="DefaultParagraphFont"/>
    <w:link w:val="Heading1"/>
    <w:rsid w:val="00415AB5"/>
    <w:rPr>
      <w:rFonts w:ascii="Times New Roman" w:eastAsia="Times New Roman" w:hAnsi="Times New Roman" w:cs="Times New Roman"/>
      <w:b/>
      <w:sz w:val="32"/>
      <w:szCs w:val="20"/>
      <w:lang w:eastAsia="en-US"/>
    </w:rPr>
  </w:style>
  <w:style w:type="paragraph" w:styleId="BodyText">
    <w:name w:val="Body Text"/>
    <w:basedOn w:val="Normal"/>
    <w:link w:val="BodyTextChar"/>
    <w:rsid w:val="00415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AB5"/>
    <w:rPr>
      <w:rFonts w:ascii="Times New Roman" w:eastAsia="Times New Roman" w:hAnsi="Times New Roman" w:cs="Times New Roman"/>
      <w:sz w:val="24"/>
      <w:lang w:eastAsia="en-US"/>
    </w:rPr>
  </w:style>
  <w:style w:type="paragraph" w:styleId="ListBullet">
    <w:name w:val="List Bullet"/>
    <w:basedOn w:val="List"/>
    <w:rsid w:val="00415AB5"/>
    <w:pPr>
      <w:numPr>
        <w:numId w:val="12"/>
      </w:numPr>
      <w:tabs>
        <w:tab w:val="clear" w:pos="340"/>
      </w:tabs>
      <w:spacing w:before="40" w:after="40"/>
    </w:pPr>
  </w:style>
  <w:style w:type="character" w:customStyle="1" w:styleId="SpecialBold">
    <w:name w:val="Special Bold"/>
    <w:basedOn w:val="DefaultParagraphFont"/>
    <w:rsid w:val="00415AB5"/>
    <w:rPr>
      <w:b/>
      <w:spacing w:val="0"/>
    </w:rPr>
  </w:style>
  <w:style w:type="paragraph" w:styleId="ListBullet2">
    <w:name w:val="List Bullet 2"/>
    <w:basedOn w:val="List2"/>
    <w:rsid w:val="00415AB5"/>
    <w:pPr>
      <w:numPr>
        <w:numId w:val="13"/>
      </w:numPr>
      <w:tabs>
        <w:tab w:val="clear" w:pos="680"/>
      </w:tabs>
    </w:pPr>
  </w:style>
  <w:style w:type="paragraph" w:customStyle="1" w:styleId="SuperHeading">
    <w:name w:val="SuperHeading"/>
    <w:basedOn w:val="Normal"/>
    <w:rsid w:val="00415AB5"/>
    <w:pPr>
      <w:spacing w:before="240" w:after="120"/>
      <w:outlineLvl w:val="0"/>
    </w:pPr>
    <w:rPr>
      <w:rFonts w:ascii="Times New Roman" w:hAnsi="Times New Roman"/>
      <w:b/>
      <w:sz w:val="32"/>
    </w:rPr>
  </w:style>
  <w:style w:type="paragraph" w:customStyle="1" w:styleId="AllowPageBreak">
    <w:name w:val="AllowPageBreak"/>
    <w:rsid w:val="00415A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5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AB5"/>
    <w:rPr>
      <w:rFonts w:ascii="Courier New" w:eastAsia="Times New Roman" w:hAnsi="Courier New" w:cs="Times New Roman"/>
      <w:i/>
      <w:szCs w:val="20"/>
      <w:lang w:eastAsia="en-US"/>
    </w:rPr>
  </w:style>
  <w:style w:type="paragraph" w:customStyle="1" w:styleId="HeadingBase">
    <w:name w:val="Heading Base"/>
    <w:rsid w:val="00415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AB5"/>
    <w:pPr>
      <w:tabs>
        <w:tab w:val="right" w:leader="dot" w:pos="9072"/>
      </w:tabs>
      <w:ind w:left="567"/>
    </w:pPr>
    <w:rPr>
      <w:szCs w:val="22"/>
    </w:rPr>
  </w:style>
  <w:style w:type="paragraph" w:customStyle="1" w:styleId="TOCBase">
    <w:name w:val="TOC Base"/>
    <w:rsid w:val="00415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AB5"/>
    <w:pPr>
      <w:tabs>
        <w:tab w:val="right" w:leader="dot" w:pos="9072"/>
      </w:tabs>
      <w:spacing w:before="40" w:after="40"/>
      <w:ind w:left="284"/>
    </w:pPr>
    <w:rPr>
      <w:rFonts w:ascii="Times New Roman" w:hAnsi="Times New Roman"/>
    </w:rPr>
  </w:style>
  <w:style w:type="paragraph" w:styleId="TOC1">
    <w:name w:val="toc 1"/>
    <w:basedOn w:val="TOCBase"/>
    <w:next w:val="Normal"/>
    <w:rsid w:val="00415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AB5"/>
    <w:rPr>
      <w:rFonts w:ascii="Times New Roman" w:eastAsia="Times New Roman" w:hAnsi="Times New Roman" w:cs="Times New Roman"/>
      <w:sz w:val="16"/>
      <w:lang w:eastAsia="en-US"/>
    </w:rPr>
  </w:style>
  <w:style w:type="paragraph" w:styleId="Title">
    <w:name w:val="Title"/>
    <w:basedOn w:val="HeadingBase"/>
    <w:link w:val="TitleChar"/>
    <w:qFormat/>
    <w:rsid w:val="00415AB5"/>
    <w:pPr>
      <w:spacing w:before="5040"/>
      <w:jc w:val="center"/>
    </w:pPr>
    <w:rPr>
      <w:sz w:val="48"/>
      <w:szCs w:val="72"/>
      <w:lang w:val="en-US"/>
    </w:rPr>
  </w:style>
  <w:style w:type="character" w:customStyle="1" w:styleId="TitleChar">
    <w:name w:val="Title Char"/>
    <w:basedOn w:val="DefaultParagraphFont"/>
    <w:link w:val="Title"/>
    <w:rsid w:val="00415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AB5"/>
    <w:pPr>
      <w:tabs>
        <w:tab w:val="left" w:pos="3600"/>
        <w:tab w:val="left" w:pos="3958"/>
      </w:tabs>
    </w:pPr>
  </w:style>
  <w:style w:type="paragraph" w:styleId="List">
    <w:name w:val="List"/>
    <w:basedOn w:val="BodyText"/>
    <w:next w:val="BodyText"/>
    <w:rsid w:val="00415AB5"/>
    <w:pPr>
      <w:tabs>
        <w:tab w:val="left" w:pos="340"/>
      </w:tabs>
      <w:spacing w:before="60" w:after="60"/>
      <w:ind w:left="340" w:hanging="340"/>
    </w:pPr>
  </w:style>
  <w:style w:type="paragraph" w:customStyle="1" w:styleId="Note">
    <w:name w:val="Note"/>
    <w:basedOn w:val="BodyText"/>
    <w:rsid w:val="00415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AB5"/>
    <w:pPr>
      <w:framePr w:wrap="auto" w:hAnchor="text" w:y="6049"/>
    </w:pPr>
    <w:rPr>
      <w:color w:val="000000"/>
      <w:sz w:val="40"/>
    </w:rPr>
  </w:style>
  <w:style w:type="paragraph" w:customStyle="1" w:styleId="TOCTitle">
    <w:name w:val="TOCTitle"/>
    <w:basedOn w:val="Heading1"/>
    <w:rsid w:val="00415AB5"/>
    <w:pPr>
      <w:spacing w:after="240"/>
      <w:jc w:val="center"/>
      <w:outlineLvl w:val="9"/>
    </w:pPr>
    <w:rPr>
      <w:caps/>
    </w:rPr>
  </w:style>
  <w:style w:type="paragraph" w:customStyle="1" w:styleId="Version">
    <w:name w:val="Version"/>
    <w:rsid w:val="00415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AB5"/>
    <w:pPr>
      <w:keepNext w:val="0"/>
      <w:tabs>
        <w:tab w:val="right" w:pos="4176"/>
      </w:tabs>
      <w:ind w:left="198" w:hanging="198"/>
    </w:pPr>
    <w:rPr>
      <w:rFonts w:ascii="Garamond" w:hAnsi="Garamond"/>
    </w:rPr>
  </w:style>
  <w:style w:type="paragraph" w:styleId="IndexHeading">
    <w:name w:val="index heading"/>
    <w:basedOn w:val="Normal"/>
    <w:next w:val="Index1"/>
    <w:semiHidden/>
    <w:rsid w:val="00415AB5"/>
    <w:pPr>
      <w:spacing w:before="120" w:after="120"/>
    </w:pPr>
    <w:rPr>
      <w:rFonts w:ascii="Arial" w:hAnsi="Arial"/>
      <w:b/>
      <w:color w:val="918585"/>
      <w:sz w:val="24"/>
    </w:rPr>
  </w:style>
  <w:style w:type="paragraph" w:styleId="Header">
    <w:name w:val="header"/>
    <w:basedOn w:val="Normal"/>
    <w:link w:val="HeaderChar"/>
    <w:rsid w:val="00415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AB5"/>
    <w:rPr>
      <w:rFonts w:ascii="Times New Roman" w:eastAsia="Times New Roman" w:hAnsi="Times New Roman" w:cs="Times New Roman"/>
      <w:sz w:val="16"/>
      <w:szCs w:val="20"/>
      <w:lang w:val="en-GB" w:eastAsia="en-US"/>
    </w:rPr>
  </w:style>
  <w:style w:type="paragraph" w:customStyle="1" w:styleId="Chapter">
    <w:name w:val="Chapter"/>
    <w:basedOn w:val="Normal"/>
    <w:rsid w:val="00415AB5"/>
    <w:pPr>
      <w:spacing w:before="240"/>
    </w:pPr>
    <w:rPr>
      <w:rFonts w:ascii="Times New Roman" w:hAnsi="Times New Roman"/>
      <w:smallCaps/>
      <w:spacing w:val="80"/>
      <w:sz w:val="28"/>
    </w:rPr>
  </w:style>
  <w:style w:type="paragraph" w:customStyle="1" w:styleId="InChapter">
    <w:name w:val="InChapter"/>
    <w:basedOn w:val="Heading3"/>
    <w:rsid w:val="00415AB5"/>
    <w:pPr>
      <w:spacing w:after="240"/>
      <w:outlineLvl w:val="9"/>
    </w:pPr>
    <w:rPr>
      <w:noProof/>
    </w:rPr>
  </w:style>
  <w:style w:type="paragraph" w:styleId="Index2">
    <w:name w:val="index 2"/>
    <w:basedOn w:val="Normal"/>
    <w:next w:val="Normal"/>
    <w:semiHidden/>
    <w:rsid w:val="00415AB5"/>
    <w:pPr>
      <w:tabs>
        <w:tab w:val="right" w:pos="4176"/>
      </w:tabs>
      <w:ind w:left="568" w:hanging="284"/>
    </w:pPr>
    <w:rPr>
      <w:rFonts w:ascii="Garamond" w:hAnsi="Garamond"/>
    </w:rPr>
  </w:style>
  <w:style w:type="paragraph" w:customStyle="1" w:styleId="Byline">
    <w:name w:val="Byline"/>
    <w:rsid w:val="00415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AB5"/>
    <w:pPr>
      <w:tabs>
        <w:tab w:val="clear" w:pos="3600"/>
        <w:tab w:val="clear" w:pos="3958"/>
      </w:tabs>
      <w:jc w:val="right"/>
    </w:pPr>
  </w:style>
  <w:style w:type="character" w:styleId="Emphasis">
    <w:name w:val="Emphasis"/>
    <w:basedOn w:val="DefaultParagraphFont"/>
    <w:qFormat/>
    <w:rsid w:val="00415AB5"/>
    <w:rPr>
      <w:i/>
    </w:rPr>
  </w:style>
  <w:style w:type="paragraph" w:styleId="Caption">
    <w:name w:val="caption"/>
    <w:basedOn w:val="BodyText"/>
    <w:next w:val="Normal"/>
    <w:qFormat/>
    <w:rsid w:val="00415AB5"/>
    <w:pPr>
      <w:framePr w:w="2268" w:hSpace="181" w:vSpace="181" w:wrap="around" w:vAnchor="text" w:hAnchor="page" w:x="1135" w:y="285" w:anchorLock="1"/>
    </w:pPr>
    <w:rPr>
      <w:i/>
    </w:rPr>
  </w:style>
  <w:style w:type="paragraph" w:customStyle="1" w:styleId="MiniTOCTitle">
    <w:name w:val="MiniTOCTitle"/>
    <w:basedOn w:val="Heading4"/>
    <w:rsid w:val="00415AB5"/>
    <w:pPr>
      <w:spacing w:before="240"/>
      <w:outlineLvl w:val="9"/>
    </w:pPr>
    <w:rPr>
      <w:noProof/>
      <w:sz w:val="24"/>
    </w:rPr>
  </w:style>
  <w:style w:type="paragraph" w:customStyle="1" w:styleId="MiniTOCItem">
    <w:name w:val="MiniTOCItem"/>
    <w:basedOn w:val="ListBullet"/>
    <w:rsid w:val="00415AB5"/>
    <w:pPr>
      <w:numPr>
        <w:numId w:val="0"/>
      </w:numPr>
      <w:tabs>
        <w:tab w:val="right" w:leader="dot" w:pos="6521"/>
      </w:tabs>
      <w:spacing w:before="0" w:after="0"/>
    </w:pPr>
  </w:style>
  <w:style w:type="paragraph" w:customStyle="1" w:styleId="TOFTitle">
    <w:name w:val="TOFTitle"/>
    <w:basedOn w:val="TOCTitle"/>
    <w:rsid w:val="00415AB5"/>
  </w:style>
  <w:style w:type="paragraph" w:styleId="TableofFigures">
    <w:name w:val="table of figures"/>
    <w:basedOn w:val="Normal"/>
    <w:next w:val="Normal"/>
    <w:semiHidden/>
    <w:rsid w:val="00415AB5"/>
    <w:pPr>
      <w:tabs>
        <w:tab w:val="right" w:leader="dot" w:pos="9072"/>
      </w:tabs>
      <w:ind w:left="970" w:hanging="403"/>
    </w:pPr>
    <w:rPr>
      <w:rFonts w:ascii="Times New Roman" w:hAnsi="Times New Roman"/>
      <w:b/>
    </w:rPr>
  </w:style>
  <w:style w:type="paragraph" w:styleId="ListNumber">
    <w:name w:val="List Number"/>
    <w:basedOn w:val="List"/>
    <w:rsid w:val="00415AB5"/>
    <w:pPr>
      <w:numPr>
        <w:numId w:val="15"/>
      </w:numPr>
      <w:tabs>
        <w:tab w:val="clear" w:pos="340"/>
      </w:tabs>
    </w:pPr>
  </w:style>
  <w:style w:type="character" w:customStyle="1" w:styleId="WingdingSymbols">
    <w:name w:val="Wingding Symbols"/>
    <w:rsid w:val="00415AB5"/>
    <w:rPr>
      <w:rFonts w:ascii="Wingdings" w:hAnsi="Wingdings"/>
    </w:rPr>
  </w:style>
  <w:style w:type="paragraph" w:customStyle="1" w:styleId="TableHeading">
    <w:name w:val="Table Heading"/>
    <w:basedOn w:val="HeadingBase"/>
    <w:rsid w:val="00415AB5"/>
    <w:pPr>
      <w:keepLines/>
      <w:pBdr>
        <w:bottom w:val="single" w:sz="6" w:space="1" w:color="918585"/>
      </w:pBdr>
      <w:spacing w:before="240"/>
    </w:pPr>
  </w:style>
  <w:style w:type="character" w:customStyle="1" w:styleId="HotSpot">
    <w:name w:val="HotSpot"/>
    <w:rsid w:val="00415AB5"/>
    <w:rPr>
      <w:color w:val="0033CC"/>
      <w:u w:val="none"/>
    </w:rPr>
  </w:style>
  <w:style w:type="paragraph" w:customStyle="1" w:styleId="BodyTextRight">
    <w:name w:val="Body Text Right"/>
    <w:basedOn w:val="BodyText"/>
    <w:rsid w:val="00415AB5"/>
    <w:pPr>
      <w:spacing w:before="0" w:after="0"/>
      <w:jc w:val="right"/>
    </w:pPr>
  </w:style>
  <w:style w:type="paragraph" w:styleId="Index3">
    <w:name w:val="index 3"/>
    <w:basedOn w:val="ListNumber2"/>
    <w:next w:val="Normal"/>
    <w:semiHidden/>
    <w:rsid w:val="00415AB5"/>
    <w:pPr>
      <w:numPr>
        <w:numId w:val="0"/>
      </w:numPr>
      <w:tabs>
        <w:tab w:val="right" w:leader="dot" w:pos="4176"/>
      </w:tabs>
    </w:pPr>
  </w:style>
  <w:style w:type="paragraph" w:styleId="ListNumber2">
    <w:name w:val="List Number 2"/>
    <w:basedOn w:val="List2"/>
    <w:rsid w:val="00415AB5"/>
    <w:pPr>
      <w:numPr>
        <w:numId w:val="10"/>
      </w:numPr>
      <w:tabs>
        <w:tab w:val="clear" w:pos="1060"/>
      </w:tabs>
    </w:pPr>
  </w:style>
  <w:style w:type="paragraph" w:customStyle="1" w:styleId="MarginNote">
    <w:name w:val="Margin Note"/>
    <w:basedOn w:val="BodyText"/>
    <w:rsid w:val="00415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AB5"/>
    <w:rPr>
      <w:sz w:val="32"/>
    </w:rPr>
  </w:style>
  <w:style w:type="paragraph" w:customStyle="1" w:styleId="HeadingProcedure">
    <w:name w:val="Heading Procedure"/>
    <w:basedOn w:val="HeadingBase"/>
    <w:next w:val="Normal"/>
    <w:rsid w:val="00415AB5"/>
    <w:pPr>
      <w:tabs>
        <w:tab w:val="left" w:pos="0"/>
      </w:tabs>
      <w:spacing w:before="120" w:after="60"/>
    </w:pPr>
    <w:rPr>
      <w:i/>
      <w:color w:val="918585"/>
      <w:sz w:val="22"/>
    </w:rPr>
  </w:style>
  <w:style w:type="paragraph" w:customStyle="1" w:styleId="TableBodyText">
    <w:name w:val="Table Body Text"/>
    <w:basedOn w:val="BodyText"/>
    <w:rsid w:val="00415AB5"/>
    <w:pPr>
      <w:spacing w:before="60" w:after="60"/>
    </w:pPr>
  </w:style>
  <w:style w:type="paragraph" w:styleId="ListContinue">
    <w:name w:val="List Continue"/>
    <w:basedOn w:val="List"/>
    <w:rsid w:val="00415AB5"/>
    <w:pPr>
      <w:ind w:firstLine="0"/>
    </w:pPr>
  </w:style>
  <w:style w:type="paragraph" w:customStyle="1" w:styleId="ListNote">
    <w:name w:val="List Note"/>
    <w:basedOn w:val="List"/>
    <w:rsid w:val="00415AB5"/>
    <w:pPr>
      <w:pBdr>
        <w:top w:val="single" w:sz="6" w:space="2" w:color="918585"/>
        <w:bottom w:val="single" w:sz="6" w:space="2" w:color="918585"/>
      </w:pBdr>
      <w:tabs>
        <w:tab w:val="left" w:pos="1021"/>
      </w:tabs>
      <w:ind w:firstLine="0"/>
    </w:pPr>
  </w:style>
  <w:style w:type="paragraph" w:customStyle="1" w:styleId="Warning">
    <w:name w:val="Warning"/>
    <w:basedOn w:val="BodyText"/>
    <w:rsid w:val="00415AB5"/>
    <w:pPr>
      <w:shd w:val="clear" w:color="auto" w:fill="D9D9D9"/>
      <w:tabs>
        <w:tab w:val="left" w:pos="992"/>
      </w:tabs>
      <w:ind w:left="119" w:right="119"/>
    </w:pPr>
    <w:rPr>
      <w:sz w:val="20"/>
    </w:rPr>
  </w:style>
  <w:style w:type="paragraph" w:customStyle="1" w:styleId="MarginIcons">
    <w:name w:val="Margin Icons"/>
    <w:basedOn w:val="BodyText"/>
    <w:rsid w:val="00415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AB5"/>
    <w:rPr>
      <w:rFonts w:ascii="Courier New" w:hAnsi="Courier New"/>
    </w:rPr>
  </w:style>
  <w:style w:type="paragraph" w:customStyle="1" w:styleId="NoteBullet">
    <w:name w:val="Note Bullet"/>
    <w:basedOn w:val="Note"/>
    <w:rsid w:val="00415AB5"/>
    <w:pPr>
      <w:tabs>
        <w:tab w:val="clear" w:pos="680"/>
      </w:tabs>
      <w:spacing w:before="60" w:after="60"/>
    </w:pPr>
  </w:style>
  <w:style w:type="paragraph" w:customStyle="1" w:styleId="SubHeading2">
    <w:name w:val="SubHeading2"/>
    <w:basedOn w:val="HeadingBase"/>
    <w:rsid w:val="00415AB5"/>
    <w:pPr>
      <w:spacing w:before="240" w:after="60"/>
    </w:pPr>
    <w:rPr>
      <w:sz w:val="20"/>
    </w:rPr>
  </w:style>
  <w:style w:type="paragraph" w:customStyle="1" w:styleId="SubHeading1">
    <w:name w:val="SubHeading1"/>
    <w:basedOn w:val="HeadingBase"/>
    <w:rsid w:val="00415AB5"/>
    <w:pPr>
      <w:spacing w:before="240" w:after="60"/>
    </w:pPr>
    <w:rPr>
      <w:color w:val="918585"/>
      <w:sz w:val="22"/>
    </w:rPr>
  </w:style>
  <w:style w:type="paragraph" w:customStyle="1" w:styleId="SideHeading">
    <w:name w:val="Side Heading"/>
    <w:basedOn w:val="HeadingBase"/>
    <w:rsid w:val="00415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AB5"/>
    <w:pPr>
      <w:tabs>
        <w:tab w:val="num" w:pos="360"/>
      </w:tabs>
    </w:pPr>
  </w:style>
  <w:style w:type="paragraph" w:styleId="PlainText">
    <w:name w:val="Plain Text"/>
    <w:basedOn w:val="Normal"/>
    <w:link w:val="PlainTextChar"/>
    <w:rsid w:val="00415AB5"/>
    <w:rPr>
      <w:sz w:val="20"/>
    </w:rPr>
  </w:style>
  <w:style w:type="character" w:customStyle="1" w:styleId="PlainTextChar">
    <w:name w:val="Plain Text Char"/>
    <w:basedOn w:val="DefaultParagraphFont"/>
    <w:link w:val="PlainText"/>
    <w:rsid w:val="00415AB5"/>
    <w:rPr>
      <w:rFonts w:ascii="Courier New" w:eastAsia="Times New Roman" w:hAnsi="Courier New" w:cs="Times New Roman"/>
      <w:sz w:val="20"/>
      <w:szCs w:val="20"/>
      <w:lang w:eastAsia="en-US"/>
    </w:rPr>
  </w:style>
  <w:style w:type="character" w:customStyle="1" w:styleId="MenuOption">
    <w:name w:val="Menu Option"/>
    <w:basedOn w:val="DefaultParagraphFont"/>
    <w:rsid w:val="00415AB5"/>
    <w:rPr>
      <w:b/>
      <w:smallCaps/>
    </w:rPr>
  </w:style>
  <w:style w:type="paragraph" w:customStyle="1" w:styleId="TableListNumber">
    <w:name w:val="Table List Number"/>
    <w:basedOn w:val="ListNumber"/>
    <w:rsid w:val="00415AB5"/>
    <w:pPr>
      <w:numPr>
        <w:numId w:val="0"/>
      </w:numPr>
    </w:pPr>
  </w:style>
  <w:style w:type="paragraph" w:styleId="TOC4">
    <w:name w:val="toc 4"/>
    <w:basedOn w:val="TOCBase"/>
    <w:next w:val="Normal"/>
    <w:semiHidden/>
    <w:rsid w:val="00415AB5"/>
    <w:pPr>
      <w:tabs>
        <w:tab w:val="right" w:leader="dot" w:pos="9071"/>
      </w:tabs>
      <w:ind w:left="1701"/>
    </w:pPr>
  </w:style>
  <w:style w:type="paragraph" w:customStyle="1" w:styleId="ListAlpha">
    <w:name w:val="List Alpha"/>
    <w:basedOn w:val="List"/>
    <w:rsid w:val="00415AB5"/>
    <w:pPr>
      <w:numPr>
        <w:numId w:val="9"/>
      </w:numPr>
    </w:pPr>
  </w:style>
  <w:style w:type="paragraph" w:customStyle="1" w:styleId="ListAlpha2">
    <w:name w:val="List Alpha 2"/>
    <w:basedOn w:val="List2"/>
    <w:rsid w:val="00415AB5"/>
    <w:pPr>
      <w:numPr>
        <w:numId w:val="8"/>
      </w:numPr>
    </w:pPr>
  </w:style>
  <w:style w:type="paragraph" w:styleId="List2">
    <w:name w:val="List 2"/>
    <w:basedOn w:val="BodyText"/>
    <w:rsid w:val="00415AB5"/>
    <w:pPr>
      <w:tabs>
        <w:tab w:val="left" w:pos="680"/>
      </w:tabs>
      <w:spacing w:before="60" w:after="60"/>
      <w:ind w:left="680" w:hanging="340"/>
    </w:pPr>
  </w:style>
  <w:style w:type="paragraph" w:styleId="List3">
    <w:name w:val="List 3"/>
    <w:basedOn w:val="BodyText"/>
    <w:rsid w:val="00415AB5"/>
    <w:pPr>
      <w:tabs>
        <w:tab w:val="left" w:pos="1021"/>
      </w:tabs>
      <w:spacing w:before="60" w:after="60"/>
      <w:ind w:left="1020" w:hanging="340"/>
    </w:pPr>
  </w:style>
  <w:style w:type="paragraph" w:styleId="List4">
    <w:name w:val="List 4"/>
    <w:basedOn w:val="BodyText"/>
    <w:rsid w:val="00415AB5"/>
    <w:pPr>
      <w:tabs>
        <w:tab w:val="left" w:pos="1361"/>
      </w:tabs>
      <w:spacing w:before="60" w:after="60"/>
      <w:ind w:left="1361" w:hanging="340"/>
    </w:pPr>
  </w:style>
  <w:style w:type="paragraph" w:styleId="List5">
    <w:name w:val="List 5"/>
    <w:basedOn w:val="BodyText"/>
    <w:rsid w:val="00415AB5"/>
    <w:pPr>
      <w:tabs>
        <w:tab w:val="left" w:pos="1701"/>
      </w:tabs>
      <w:spacing w:before="60" w:after="60"/>
      <w:ind w:left="1701" w:hanging="340"/>
    </w:pPr>
  </w:style>
  <w:style w:type="paragraph" w:styleId="ListBullet3">
    <w:name w:val="List Bullet 3"/>
    <w:basedOn w:val="List3"/>
    <w:rsid w:val="00415AB5"/>
    <w:pPr>
      <w:numPr>
        <w:numId w:val="14"/>
      </w:numPr>
      <w:tabs>
        <w:tab w:val="clear" w:pos="1021"/>
      </w:tabs>
      <w:ind w:left="1037" w:hanging="357"/>
    </w:pPr>
  </w:style>
  <w:style w:type="paragraph" w:styleId="ListBullet4">
    <w:name w:val="List Bullet 4"/>
    <w:basedOn w:val="List4"/>
    <w:rsid w:val="00415AB5"/>
    <w:pPr>
      <w:numPr>
        <w:numId w:val="3"/>
      </w:numPr>
      <w:tabs>
        <w:tab w:val="clear" w:pos="1361"/>
      </w:tabs>
    </w:pPr>
  </w:style>
  <w:style w:type="paragraph" w:styleId="ListBullet5">
    <w:name w:val="List Bullet 5"/>
    <w:basedOn w:val="List5"/>
    <w:rsid w:val="00415AB5"/>
    <w:pPr>
      <w:numPr>
        <w:numId w:val="4"/>
      </w:numPr>
    </w:pPr>
  </w:style>
  <w:style w:type="paragraph" w:styleId="ListContinue2">
    <w:name w:val="List Continue 2"/>
    <w:basedOn w:val="List2"/>
    <w:rsid w:val="00415AB5"/>
    <w:pPr>
      <w:ind w:firstLine="0"/>
    </w:pPr>
  </w:style>
  <w:style w:type="paragraph" w:styleId="ListContinue3">
    <w:name w:val="List Continue 3"/>
    <w:basedOn w:val="List3"/>
    <w:rsid w:val="00415AB5"/>
    <w:pPr>
      <w:ind w:left="1021" w:firstLine="0"/>
    </w:pPr>
  </w:style>
  <w:style w:type="paragraph" w:styleId="ListContinue4">
    <w:name w:val="List Continue 4"/>
    <w:basedOn w:val="List4"/>
    <w:rsid w:val="00415AB5"/>
    <w:pPr>
      <w:ind w:firstLine="0"/>
    </w:pPr>
  </w:style>
  <w:style w:type="paragraph" w:styleId="ListContinue5">
    <w:name w:val="List Continue 5"/>
    <w:basedOn w:val="List5"/>
    <w:rsid w:val="00415AB5"/>
    <w:pPr>
      <w:ind w:firstLine="0"/>
    </w:pPr>
  </w:style>
  <w:style w:type="paragraph" w:styleId="ListNumber3">
    <w:name w:val="List Number 3"/>
    <w:basedOn w:val="List3"/>
    <w:rsid w:val="00415AB5"/>
    <w:pPr>
      <w:numPr>
        <w:numId w:val="5"/>
      </w:numPr>
    </w:pPr>
  </w:style>
  <w:style w:type="paragraph" w:styleId="ListNumber4">
    <w:name w:val="List Number 4"/>
    <w:basedOn w:val="List4"/>
    <w:rsid w:val="00415AB5"/>
    <w:pPr>
      <w:numPr>
        <w:numId w:val="6"/>
      </w:numPr>
    </w:pPr>
  </w:style>
  <w:style w:type="paragraph" w:styleId="ListNumber5">
    <w:name w:val="List Number 5"/>
    <w:basedOn w:val="List5"/>
    <w:rsid w:val="00415AB5"/>
    <w:pPr>
      <w:numPr>
        <w:numId w:val="7"/>
      </w:numPr>
    </w:pPr>
  </w:style>
  <w:style w:type="paragraph" w:styleId="BlockText">
    <w:name w:val="Block Text"/>
    <w:basedOn w:val="Normal"/>
    <w:rsid w:val="00415AB5"/>
    <w:pPr>
      <w:spacing w:after="120"/>
      <w:ind w:left="1440" w:right="1440"/>
    </w:pPr>
  </w:style>
  <w:style w:type="character" w:customStyle="1" w:styleId="Subscript">
    <w:name w:val="Subscript"/>
    <w:basedOn w:val="DefaultParagraphFont"/>
    <w:rsid w:val="00415AB5"/>
    <w:rPr>
      <w:sz w:val="16"/>
      <w:vertAlign w:val="subscript"/>
    </w:rPr>
  </w:style>
  <w:style w:type="character" w:customStyle="1" w:styleId="Superscript">
    <w:name w:val="Superscript"/>
    <w:basedOn w:val="DefaultParagraphFont"/>
    <w:rsid w:val="00415AB5"/>
    <w:rPr>
      <w:sz w:val="16"/>
      <w:vertAlign w:val="superscript"/>
    </w:rPr>
  </w:style>
  <w:style w:type="character" w:customStyle="1" w:styleId="Symbols">
    <w:name w:val="Symbols"/>
    <w:basedOn w:val="DefaultParagraphFont"/>
    <w:rsid w:val="00415AB5"/>
    <w:rPr>
      <w:rFonts w:ascii="Symbol" w:hAnsi="Symbol"/>
    </w:rPr>
  </w:style>
  <w:style w:type="character" w:customStyle="1" w:styleId="MenuOptions">
    <w:name w:val="Menu Options"/>
    <w:basedOn w:val="DefaultParagraphFont"/>
    <w:rsid w:val="00415AB5"/>
    <w:rPr>
      <w:rFonts w:ascii="Arial Narrow" w:hAnsi="Arial Narrow"/>
      <w:smallCaps/>
    </w:rPr>
  </w:style>
  <w:style w:type="character" w:customStyle="1" w:styleId="Buttons">
    <w:name w:val="Buttons"/>
    <w:basedOn w:val="DefaultParagraphFont"/>
    <w:rsid w:val="00415AB5"/>
    <w:rPr>
      <w:b/>
    </w:rPr>
  </w:style>
  <w:style w:type="character" w:customStyle="1" w:styleId="Underlined">
    <w:name w:val="Underlined"/>
    <w:basedOn w:val="DefaultParagraphFont"/>
    <w:rsid w:val="00415AB5"/>
    <w:rPr>
      <w:u w:val="single"/>
    </w:rPr>
  </w:style>
  <w:style w:type="paragraph" w:customStyle="1" w:styleId="TableBodyTextRight">
    <w:name w:val="Table Body Text Right"/>
    <w:basedOn w:val="TableBodyText"/>
    <w:rsid w:val="00415AB5"/>
    <w:pPr>
      <w:widowControl w:val="0"/>
      <w:autoSpaceDE w:val="0"/>
      <w:autoSpaceDN w:val="0"/>
      <w:adjustRightInd w:val="0"/>
      <w:jc w:val="right"/>
    </w:pPr>
    <w:rPr>
      <w:rFonts w:cs="Arial"/>
      <w:szCs w:val="18"/>
    </w:rPr>
  </w:style>
  <w:style w:type="paragraph" w:customStyle="1" w:styleId="CopyrightText">
    <w:name w:val="Copyright Text"/>
    <w:basedOn w:val="BodyText"/>
    <w:rsid w:val="00415AB5"/>
    <w:rPr>
      <w:sz w:val="18"/>
    </w:rPr>
  </w:style>
  <w:style w:type="paragraph" w:customStyle="1" w:styleId="BodySmallRight">
    <w:name w:val="Body Small Right"/>
    <w:basedOn w:val="BodyTextRight"/>
    <w:rsid w:val="00415AB5"/>
    <w:rPr>
      <w:sz w:val="18"/>
      <w:szCs w:val="18"/>
    </w:rPr>
  </w:style>
  <w:style w:type="paragraph" w:customStyle="1" w:styleId="MarginEdition">
    <w:name w:val="Margin Edition"/>
    <w:basedOn w:val="MarginNote"/>
    <w:rsid w:val="00415AB5"/>
    <w:pPr>
      <w:spacing w:before="0" w:after="0"/>
    </w:pPr>
    <w:rPr>
      <w:rFonts w:ascii="Times New Roman" w:hAnsi="Times New Roman"/>
      <w:color w:val="999999"/>
    </w:rPr>
  </w:style>
  <w:style w:type="paragraph" w:customStyle="1" w:styleId="Spacer">
    <w:name w:val="Spacer"/>
    <w:basedOn w:val="Normal"/>
    <w:rsid w:val="00415AB5"/>
    <w:rPr>
      <w:sz w:val="2"/>
      <w:szCs w:val="2"/>
    </w:rPr>
  </w:style>
  <w:style w:type="character" w:customStyle="1" w:styleId="Small">
    <w:name w:val="Small"/>
    <w:basedOn w:val="DefaultParagraphFont"/>
    <w:rsid w:val="00415AB5"/>
    <w:rPr>
      <w:sz w:val="16"/>
    </w:rPr>
  </w:style>
  <w:style w:type="paragraph" w:customStyle="1" w:styleId="WideTable">
    <w:name w:val="Wide Table"/>
    <w:basedOn w:val="Normal"/>
    <w:rsid w:val="00415AB5"/>
    <w:pPr>
      <w:ind w:left="-1418"/>
    </w:pPr>
    <w:rPr>
      <w:sz w:val="2"/>
      <w:szCs w:val="2"/>
    </w:rPr>
  </w:style>
  <w:style w:type="character" w:styleId="PageNumber">
    <w:name w:val="page number"/>
    <w:basedOn w:val="DefaultParagraphFont"/>
    <w:rsid w:val="00415AB5"/>
  </w:style>
  <w:style w:type="paragraph" w:styleId="Quote">
    <w:name w:val="Quote"/>
    <w:basedOn w:val="Heading1"/>
    <w:link w:val="QuoteChar"/>
    <w:qFormat/>
    <w:rsid w:val="00415AB5"/>
    <w:rPr>
      <w:b w:val="0"/>
      <w:sz w:val="72"/>
      <w:szCs w:val="72"/>
      <w:lang w:val="en-NZ"/>
    </w:rPr>
  </w:style>
  <w:style w:type="character" w:customStyle="1" w:styleId="QuoteChar">
    <w:name w:val="Quote Char"/>
    <w:basedOn w:val="DefaultParagraphFont"/>
    <w:link w:val="Quote"/>
    <w:rsid w:val="00415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AB5"/>
    <w:pPr>
      <w:pageBreakBefore/>
    </w:pPr>
  </w:style>
  <w:style w:type="paragraph" w:customStyle="1" w:styleId="Border">
    <w:name w:val="Border"/>
    <w:basedOn w:val="Normal"/>
    <w:qFormat/>
    <w:rsid w:val="00415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AB5"/>
    <w:rPr>
      <w:b/>
      <w:bCs/>
      <w:i/>
      <w:iCs/>
      <w:color w:val="auto"/>
    </w:rPr>
  </w:style>
  <w:style w:type="paragraph" w:styleId="IntenseQuote">
    <w:name w:val="Intense Quote"/>
    <w:basedOn w:val="Normal"/>
    <w:next w:val="Normal"/>
    <w:link w:val="IntenseQuoteChar"/>
    <w:uiPriority w:val="30"/>
    <w:qFormat/>
    <w:rsid w:val="00415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AB5"/>
    <w:rPr>
      <w:smallCaps/>
      <w:color w:val="auto"/>
      <w:u w:val="single"/>
    </w:rPr>
  </w:style>
  <w:style w:type="character" w:styleId="IntenseReference">
    <w:name w:val="Intense Reference"/>
    <w:basedOn w:val="DefaultParagraphFont"/>
    <w:uiPriority w:val="32"/>
    <w:qFormat/>
    <w:rsid w:val="00415AB5"/>
    <w:rPr>
      <w:b/>
      <w:bCs/>
      <w:smallCaps/>
      <w:color w:val="auto"/>
      <w:spacing w:val="5"/>
      <w:u w:val="single"/>
    </w:rPr>
  </w:style>
  <w:style w:type="paragraph" w:customStyle="1" w:styleId="2ColumnHeading">
    <w:name w:val="2Column Heading"/>
    <w:basedOn w:val="BodyText"/>
    <w:qFormat/>
    <w:rsid w:val="00415AB5"/>
    <w:pPr>
      <w:spacing w:after="60"/>
      <w:ind w:left="-2268"/>
    </w:pPr>
    <w:rPr>
      <w:b/>
    </w:rPr>
  </w:style>
  <w:style w:type="paragraph" w:customStyle="1" w:styleId="Heading1TOC">
    <w:name w:val="Heading1 TOC"/>
    <w:basedOn w:val="Normal"/>
    <w:qFormat/>
    <w:rsid w:val="00415AB5"/>
    <w:pPr>
      <w:spacing w:before="240" w:after="120"/>
    </w:pPr>
    <w:rPr>
      <w:rFonts w:ascii="Times New Roman" w:hAnsi="Times New Roman"/>
      <w:b/>
      <w:sz w:val="32"/>
    </w:rPr>
  </w:style>
  <w:style w:type="paragraph" w:customStyle="1" w:styleId="Heading2TOC">
    <w:name w:val="Heading2 TOC"/>
    <w:basedOn w:val="Normal"/>
    <w:qFormat/>
    <w:rsid w:val="00415AB5"/>
    <w:pPr>
      <w:spacing w:before="240" w:after="60"/>
    </w:pPr>
    <w:rPr>
      <w:rFonts w:ascii="Times New Roman" w:hAnsi="Times New Roman"/>
      <w:b/>
      <w:sz w:val="28"/>
    </w:rPr>
  </w:style>
  <w:style w:type="character" w:customStyle="1" w:styleId="Underline">
    <w:name w:val="Underline"/>
    <w:basedOn w:val="DefaultParagraphFont"/>
    <w:qFormat/>
    <w:rsid w:val="00415AB5"/>
    <w:rPr>
      <w:u w:val="single"/>
    </w:rPr>
  </w:style>
  <w:style w:type="character" w:customStyle="1" w:styleId="BoldandItalics">
    <w:name w:val="Bold and Italics"/>
    <w:qFormat/>
    <w:rsid w:val="00415AB5"/>
    <w:rPr>
      <w:b/>
      <w:i/>
      <w:u w:val="none"/>
    </w:rPr>
  </w:style>
  <w:style w:type="paragraph" w:styleId="BalloonText">
    <w:name w:val="Balloon Text"/>
    <w:basedOn w:val="Normal"/>
    <w:link w:val="BalloonTextChar"/>
    <w:rsid w:val="00415AB5"/>
    <w:rPr>
      <w:rFonts w:ascii="Tahoma" w:hAnsi="Tahoma" w:cs="Tahoma"/>
      <w:sz w:val="16"/>
      <w:szCs w:val="16"/>
    </w:rPr>
  </w:style>
  <w:style w:type="character" w:customStyle="1" w:styleId="BalloonTextChar">
    <w:name w:val="Balloon Text Char"/>
    <w:basedOn w:val="DefaultParagraphFont"/>
    <w:link w:val="BalloonText"/>
    <w:rsid w:val="00415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AB5"/>
    <w:rPr>
      <w:b/>
      <w:color w:val="660033"/>
      <w:spacing w:val="0"/>
    </w:rPr>
  </w:style>
  <w:style w:type="paragraph" w:customStyle="1" w:styleId="Nameditemlist">
    <w:name w:val="Named item list"/>
    <w:basedOn w:val="BodyText"/>
    <w:qFormat/>
    <w:rsid w:val="00415AB5"/>
    <w:pPr>
      <w:tabs>
        <w:tab w:val="left" w:pos="2835"/>
      </w:tabs>
      <w:ind w:left="2835" w:hanging="2835"/>
    </w:pPr>
  </w:style>
  <w:style w:type="paragraph" w:customStyle="1" w:styleId="BodyTextnopadding">
    <w:name w:val="Body Text no padding"/>
    <w:basedOn w:val="BodyText"/>
    <w:qFormat/>
    <w:rsid w:val="00415AB5"/>
    <w:pPr>
      <w:spacing w:before="0" w:after="0"/>
    </w:pPr>
  </w:style>
  <w:style w:type="paragraph" w:customStyle="1" w:styleId="BodyTextBold">
    <w:name w:val="Body Text Bold"/>
    <w:basedOn w:val="BodyText"/>
    <w:qFormat/>
    <w:rsid w:val="00415AB5"/>
    <w:rPr>
      <w:b/>
    </w:rPr>
  </w:style>
  <w:style w:type="character" w:styleId="Hyperlink">
    <w:name w:val="Hyperlink"/>
    <w:basedOn w:val="DefaultParagraphFont"/>
    <w:uiPriority w:val="99"/>
    <w:unhideWhenUsed/>
    <w:rsid w:val="00776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8251</Characters>
  <Application>Microsoft Office Word</Application>
  <DocSecurity>0</DocSecurity>
  <Lines>275</Lines>
  <Paragraphs>153</Paragraphs>
  <ScaleCrop>false</ScaleCrop>
  <Company>Author-it Software Corporation Ltd.</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TLIF3084 Follow mobile crane safety procedures</dc:title>
  <dc:subject>Approved</dc:subject>
  <dc:creator>Industry Skills Australia</dc:creator>
  <cp:keywords>Release: 2</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