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B28BF" w:rsidP="00BB28B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TLIF3058 Apply safeworking rules and regulations to rail functions</w:t>
      </w:r>
      <w:r>
        <w:fldChar w:fldCharType="end"/>
      </w:r>
    </w:p>
    <w:p w:rsidR="00BB28BF" w:rsidP="00BB28BF">
      <w:pPr>
        <w:pStyle w:val="Version"/>
        <w:sectPr w:rsidSect="005C277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C277B" w:rsidP="005C277B">
      <w:pPr>
        <w:pStyle w:val="SuperHeading"/>
      </w:pPr>
      <w:r w:rsidRPr="005C277B">
        <w:t>TLIF3058 Apply safeworking rules and regulations to rail functions</w:t>
      </w:r>
    </w:p>
    <w:p w:rsidR="00000000" w:rsidRPr="005C277B" w:rsidP="005C277B">
      <w:pPr>
        <w:pStyle w:val="Heading1"/>
      </w:pPr>
      <w:bookmarkStart w:id="1" w:name="O_1118918"/>
      <w:bookmarkEnd w:id="1"/>
      <w:r w:rsidRPr="005C277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C27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77B" w:rsidP="005C277B">
            <w:pPr>
              <w:pStyle w:val="BodyText"/>
            </w:pPr>
            <w:r w:rsidRPr="005C277B">
              <w:rPr>
                <w:rStyle w:val="SpecialBold"/>
              </w:rPr>
              <w:t>Release 2</w:t>
            </w:r>
            <w:r w:rsidRPr="005C277B">
              <w:t>. This is the second release of this unit of competency in the TLI Transport and Logistics Training Package:</w:t>
            </w:r>
          </w:p>
          <w:p w:rsidR="00000000" w:rsidP="005C277B">
            <w:pPr>
              <w:pStyle w:val="ListBullet"/>
              <w:rPr>
                <w:lang w:val="en-NZ"/>
              </w:rPr>
            </w:pPr>
            <w:r w:rsidRPr="005C277B">
              <w:t>Minor statement changes in Assessment Conditions.</w:t>
            </w:r>
          </w:p>
        </w:tc>
      </w:tr>
      <w:tr w:rsidTr="005C27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77B" w:rsidP="005C277B">
            <w:pPr>
              <w:pStyle w:val="BodyText"/>
            </w:pPr>
            <w:r w:rsidRPr="005C277B">
              <w:rPr>
                <w:rStyle w:val="SpecialBold"/>
              </w:rPr>
              <w:t>Release 1</w:t>
            </w:r>
            <w:r w:rsidRPr="005C277B">
              <w:t>. This is the first release of this unit of competency in the TLI Transport and Logistics Training Package.</w:t>
            </w:r>
          </w:p>
        </w:tc>
      </w:tr>
    </w:tbl>
    <w:p w:rsidR="00000000" w:rsidRPr="005C277B" w:rsidP="005C277B">
      <w:pPr>
        <w:pStyle w:val="NoPaddingFontSize1"/>
      </w:pPr>
    </w:p>
    <w:p w:rsidR="00000000" w:rsidRPr="005C277B" w:rsidP="005C277B">
      <w:pPr>
        <w:pStyle w:val="AllowPageBreak"/>
      </w:pPr>
    </w:p>
    <w:p w:rsidR="00000000" w:rsidRPr="005C277B" w:rsidP="005C277B">
      <w:pPr>
        <w:pStyle w:val="Heading1"/>
      </w:pPr>
      <w:bookmarkStart w:id="2" w:name="O_1118917"/>
      <w:bookmarkEnd w:id="2"/>
      <w:r w:rsidRPr="005C277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C27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77B" w:rsidP="005C277B">
            <w:pPr>
              <w:pStyle w:val="BodyText"/>
            </w:pPr>
            <w:r w:rsidRPr="005C277B">
              <w:t>This unit involves the skills and knowledge required to</w:t>
            </w:r>
            <w:r w:rsidRPr="005C277B">
              <w:t xml:space="preserve"> apply applicable safeworking rules and regulations to rail functions carried out on rail networks.</w:t>
            </w:r>
          </w:p>
          <w:p w:rsidR="00000000" w:rsidRPr="005C277B" w:rsidP="005C277B">
            <w:pPr>
              <w:pStyle w:val="BodyText"/>
            </w:pPr>
            <w:r w:rsidRPr="005C277B">
              <w:t>It includes correctly using communications protocols; interpreting and responding to radio, hand signal and light commands; interpreting and following relev</w:t>
            </w:r>
            <w:r w:rsidRPr="005C277B">
              <w:t>ant safeworking rules and protocols; and taking appropriate action in safety incidents, unsafe situations or emergencies.</w:t>
            </w:r>
          </w:p>
          <w:p w:rsidR="00000000" w:rsidRPr="005C277B" w:rsidP="005C277B">
            <w:pPr>
              <w:pStyle w:val="BodyText"/>
            </w:pPr>
            <w:r w:rsidRPr="005C277B">
              <w:t>People achieving competence in this unit will need to fulfil the applicable state/territory legislated rail safety requirements and to</w:t>
            </w:r>
            <w:r w:rsidRPr="005C277B">
              <w:t xml:space="preserve"> comply with relevant codes of practice and/or guidelines.</w:t>
            </w:r>
          </w:p>
          <w:p w:rsidR="00000000" w:rsidRPr="005C277B" w:rsidP="005C277B">
            <w:pPr>
              <w:pStyle w:val="BodyText"/>
            </w:pPr>
            <w:r w:rsidRPr="005C277B">
              <w:t>Work is performed under established safeworking system rules, protocols and procedures.</w:t>
            </w:r>
          </w:p>
          <w:p w:rsidR="00000000" w:rsidRPr="005C277B" w:rsidP="005C277B">
            <w:pPr>
              <w:pStyle w:val="BodyText"/>
            </w:pPr>
            <w:r w:rsidRPr="005C277B">
              <w:t>No licensing, legislative or certification requirements apply to this unit at the time of publication.</w:t>
            </w:r>
          </w:p>
        </w:tc>
      </w:tr>
    </w:tbl>
    <w:p w:rsidR="00000000" w:rsidRPr="005C277B" w:rsidP="005C277B">
      <w:pPr>
        <w:pStyle w:val="NoPaddingFontSize1"/>
      </w:pPr>
    </w:p>
    <w:p w:rsidR="00000000" w:rsidRPr="005C277B" w:rsidP="005C277B">
      <w:pPr>
        <w:pStyle w:val="AllowPageBreak"/>
      </w:pPr>
    </w:p>
    <w:p w:rsidR="00000000" w:rsidRPr="005C277B" w:rsidP="005C277B">
      <w:pPr>
        <w:pStyle w:val="Heading1"/>
      </w:pPr>
      <w:bookmarkStart w:id="3" w:name="O_1118916"/>
      <w:bookmarkEnd w:id="3"/>
      <w:r w:rsidRPr="005C277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C27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77B" w:rsidP="005C277B">
            <w:pPr>
              <w:pStyle w:val="BodyText"/>
            </w:pPr>
            <w:r w:rsidRPr="005C277B">
              <w:t>Not applicable.</w:t>
            </w:r>
          </w:p>
        </w:tc>
      </w:tr>
    </w:tbl>
    <w:p w:rsidR="00000000" w:rsidRPr="005C277B" w:rsidP="005C277B">
      <w:pPr>
        <w:pStyle w:val="NoPaddingFontSize1"/>
      </w:pPr>
    </w:p>
    <w:p w:rsidR="00000000" w:rsidRPr="005C277B" w:rsidP="005C277B">
      <w:pPr>
        <w:pStyle w:val="AllowPageBreak"/>
      </w:pPr>
    </w:p>
    <w:p w:rsidR="00000000" w:rsidRPr="005C277B" w:rsidP="005C277B">
      <w:pPr>
        <w:pStyle w:val="Heading1"/>
      </w:pPr>
      <w:bookmarkStart w:id="4" w:name="O_1118915"/>
      <w:bookmarkEnd w:id="4"/>
      <w:r w:rsidRPr="005C277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C27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77B" w:rsidP="005C277B">
            <w:pPr>
              <w:pStyle w:val="BodyText"/>
            </w:pPr>
            <w:r w:rsidRPr="005C277B">
              <w:t>F – Safety Management</w:t>
            </w:r>
          </w:p>
        </w:tc>
      </w:tr>
    </w:tbl>
    <w:p w:rsidR="00000000" w:rsidRPr="005C277B" w:rsidP="005C277B">
      <w:pPr>
        <w:pStyle w:val="NoPaddingFontSize1"/>
      </w:pPr>
    </w:p>
    <w:p w:rsidR="00000000" w:rsidRPr="005C277B" w:rsidP="005C277B">
      <w:pPr>
        <w:pStyle w:val="AllowPageBreak"/>
      </w:pPr>
    </w:p>
    <w:p w:rsidR="00000000" w:rsidRPr="005C277B" w:rsidP="005C277B">
      <w:pPr>
        <w:pStyle w:val="Heading1"/>
      </w:pPr>
      <w:bookmarkStart w:id="5" w:name="O_1118914"/>
      <w:bookmarkEnd w:id="5"/>
      <w:r w:rsidRPr="005C277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C27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77B" w:rsidP="005C277B">
            <w:pPr>
              <w:pStyle w:val="BodyText"/>
            </w:pPr>
            <w:r w:rsidRPr="005C277B">
              <w:t>Rail sector.</w:t>
            </w:r>
          </w:p>
        </w:tc>
      </w:tr>
    </w:tbl>
    <w:p w:rsidR="00000000" w:rsidRPr="005C277B" w:rsidP="005C277B">
      <w:pPr>
        <w:pStyle w:val="NoPaddingFontSize1"/>
      </w:pPr>
    </w:p>
    <w:p w:rsidR="00000000" w:rsidRPr="005C277B" w:rsidP="005C277B">
      <w:pPr>
        <w:pStyle w:val="AllowPageBreak"/>
      </w:pPr>
    </w:p>
    <w:p w:rsidR="00000000" w:rsidRPr="005C277B" w:rsidP="005C277B">
      <w:pPr>
        <w:pStyle w:val="Heading1"/>
      </w:pPr>
      <w:bookmarkStart w:id="6" w:name="O_1118913"/>
      <w:bookmarkEnd w:id="6"/>
      <w:r w:rsidRPr="005C277B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5C27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77B" w:rsidP="005C277B">
            <w:pPr>
              <w:pStyle w:val="BodyText"/>
            </w:pPr>
            <w:r w:rsidRPr="005C277B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77B">
            <w:pPr>
              <w:pStyle w:val="BodyText"/>
              <w:rPr>
                <w:lang w:val="en-NZ"/>
              </w:rPr>
            </w:pPr>
            <w:r w:rsidRPr="005C277B">
              <w:rPr>
                <w:rStyle w:val="SpecialBold"/>
              </w:rPr>
              <w:t>PERFORMANCE CRITERIA</w:t>
            </w:r>
          </w:p>
        </w:tc>
      </w:tr>
      <w:tr w:rsidTr="005C27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77B">
            <w:pPr>
              <w:pStyle w:val="BodyText"/>
              <w:rPr>
                <w:lang w:val="en-NZ"/>
              </w:rPr>
            </w:pPr>
            <w:r w:rsidRPr="005C277B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77B">
            <w:pPr>
              <w:pStyle w:val="BodyText"/>
              <w:rPr>
                <w:lang w:val="en-NZ"/>
              </w:rPr>
            </w:pPr>
            <w:r w:rsidRPr="005C277B">
              <w:t>Performance criteria describe the performance needed to demonstrate achievement of the element.</w:t>
            </w:r>
          </w:p>
        </w:tc>
      </w:tr>
      <w:tr w:rsidTr="005C27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77B" w:rsidP="005C277B">
            <w:pPr>
              <w:pStyle w:val="BodyText"/>
            </w:pPr>
            <w:r w:rsidRPr="005C277B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77B" w:rsidP="005C277B">
            <w:pPr>
              <w:pStyle w:val="BodyText"/>
            </w:pPr>
            <w:r w:rsidRPr="005C277B">
              <w:rPr>
                <w:rStyle w:val="SpecialBold"/>
              </w:rPr>
              <w:t>Apply safeworking rules and regulations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77B">
            <w:pPr>
              <w:pStyle w:val="BodyText"/>
              <w:rPr>
                <w:lang w:val="en-NZ"/>
              </w:rPr>
            </w:pPr>
            <w:r w:rsidRPr="005C277B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77B">
            <w:pPr>
              <w:pStyle w:val="BodyText"/>
              <w:rPr>
                <w:lang w:val="en-NZ"/>
              </w:rPr>
            </w:pPr>
            <w:r w:rsidRPr="005C277B">
              <w:t>Relevant safeworking system for area where work activities are to be</w:t>
            </w:r>
            <w:r w:rsidRPr="005C277B">
              <w:t xml:space="preserve"> carried out is identified prior to commencing work</w:t>
            </w:r>
          </w:p>
        </w:tc>
      </w:tr>
      <w:tr w:rsidTr="005C27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77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77B">
            <w:pPr>
              <w:pStyle w:val="BodyText"/>
              <w:rPr>
                <w:lang w:val="en-NZ"/>
              </w:rPr>
            </w:pPr>
            <w:r w:rsidRPr="005C277B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77B">
            <w:pPr>
              <w:pStyle w:val="BodyText"/>
              <w:rPr>
                <w:lang w:val="en-NZ"/>
              </w:rPr>
            </w:pPr>
            <w:r w:rsidRPr="005C277B">
              <w:t>Relevant rules for the applicable safeworking system are followed when carrying out activities as part of rail operations</w:t>
            </w:r>
          </w:p>
        </w:tc>
      </w:tr>
      <w:tr w:rsidTr="005C27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77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77B">
            <w:pPr>
              <w:pStyle w:val="BodyText"/>
              <w:rPr>
                <w:lang w:val="en-NZ"/>
              </w:rPr>
            </w:pPr>
            <w:r w:rsidRPr="005C277B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77B">
            <w:pPr>
              <w:pStyle w:val="BodyText"/>
              <w:rPr>
                <w:lang w:val="en-NZ"/>
              </w:rPr>
            </w:pPr>
            <w:r w:rsidRPr="005C277B">
              <w:t>Work activities are conducted in compliance with relevant state/territory safeworking regulations for activities concerned</w:t>
            </w:r>
          </w:p>
        </w:tc>
      </w:tr>
      <w:tr w:rsidTr="005C27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77B" w:rsidP="005C277B">
            <w:pPr>
              <w:pStyle w:val="BodyText"/>
            </w:pPr>
            <w:r w:rsidRPr="005C277B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77B" w:rsidP="005C277B">
            <w:pPr>
              <w:pStyle w:val="BodyText"/>
            </w:pPr>
            <w:r w:rsidRPr="005C277B">
              <w:rPr>
                <w:rStyle w:val="SpecialBold"/>
              </w:rPr>
              <w:t>Apply communications protocols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77B">
            <w:pPr>
              <w:pStyle w:val="BodyText"/>
              <w:rPr>
                <w:lang w:val="en-NZ"/>
              </w:rPr>
            </w:pPr>
            <w:r w:rsidRPr="005C277B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77B">
            <w:pPr>
              <w:pStyle w:val="BodyText"/>
              <w:rPr>
                <w:lang w:val="en-NZ"/>
              </w:rPr>
            </w:pPr>
            <w:r w:rsidRPr="005C277B">
              <w:t>Communications protocols are followed in accordance with the applicable safeworking system requ</w:t>
            </w:r>
            <w:r w:rsidRPr="005C277B">
              <w:t>irements</w:t>
            </w:r>
          </w:p>
        </w:tc>
      </w:tr>
      <w:tr w:rsidTr="005C27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77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77B">
            <w:pPr>
              <w:pStyle w:val="BodyText"/>
              <w:rPr>
                <w:lang w:val="en-NZ"/>
              </w:rPr>
            </w:pPr>
            <w:r w:rsidRPr="005C277B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77B">
            <w:pPr>
              <w:pStyle w:val="BodyText"/>
              <w:rPr>
                <w:lang w:val="en-NZ"/>
              </w:rPr>
            </w:pPr>
            <w:r w:rsidRPr="005C277B">
              <w:t>Appropriate communications records are maintained as required within the applicable safeworking system rules and procedures</w:t>
            </w:r>
          </w:p>
        </w:tc>
      </w:tr>
      <w:tr w:rsidTr="005C27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77B" w:rsidP="005C277B">
            <w:pPr>
              <w:pStyle w:val="BodyText"/>
            </w:pPr>
            <w:r w:rsidRPr="005C277B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77B" w:rsidP="005C277B">
            <w:pPr>
              <w:pStyle w:val="BodyText"/>
            </w:pPr>
            <w:r w:rsidRPr="005C277B">
              <w:rPr>
                <w:rStyle w:val="SpecialBold"/>
              </w:rPr>
              <w:t>Use and interpret radio, hand, light and flag commands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77B">
            <w:pPr>
              <w:pStyle w:val="BodyText"/>
              <w:rPr>
                <w:lang w:val="en-NZ"/>
              </w:rPr>
            </w:pPr>
            <w:r w:rsidRPr="005C277B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77B">
            <w:pPr>
              <w:pStyle w:val="BodyText"/>
              <w:rPr>
                <w:lang w:val="en-NZ"/>
              </w:rPr>
            </w:pPr>
            <w:r w:rsidRPr="005C277B">
              <w:t>Applicable safeworking system rules and procedures are</w:t>
            </w:r>
            <w:r w:rsidRPr="005C277B">
              <w:t xml:space="preserve"> applied when using and interpreting radio, hand, light and flag commands</w:t>
            </w:r>
          </w:p>
        </w:tc>
      </w:tr>
      <w:tr w:rsidTr="005C27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77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77B">
            <w:pPr>
              <w:pStyle w:val="BodyText"/>
              <w:rPr>
                <w:lang w:val="en-NZ"/>
              </w:rPr>
            </w:pPr>
            <w:r w:rsidRPr="005C277B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77B">
            <w:pPr>
              <w:pStyle w:val="BodyText"/>
              <w:rPr>
                <w:lang w:val="en-NZ"/>
              </w:rPr>
            </w:pPr>
            <w:r w:rsidRPr="005C277B">
              <w:t>Hand signals are only used in conditions of good visibility</w:t>
            </w:r>
          </w:p>
        </w:tc>
      </w:tr>
      <w:tr w:rsidTr="005C27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77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77B">
            <w:pPr>
              <w:pStyle w:val="BodyText"/>
              <w:rPr>
                <w:lang w:val="en-NZ"/>
              </w:rPr>
            </w:pPr>
            <w:r w:rsidRPr="005C277B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77B">
            <w:pPr>
              <w:pStyle w:val="BodyText"/>
              <w:rPr>
                <w:lang w:val="en-NZ"/>
              </w:rPr>
            </w:pPr>
            <w:r w:rsidRPr="005C277B">
              <w:t>Any command not clearly understood is regarded as a STOP command in accordance with applicable safeworking system rules and regulations</w:t>
            </w:r>
          </w:p>
        </w:tc>
      </w:tr>
      <w:tr w:rsidTr="005C27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77B" w:rsidP="005C277B">
            <w:pPr>
              <w:pStyle w:val="BodyText"/>
            </w:pPr>
            <w:r w:rsidRPr="005C277B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77B" w:rsidP="005C277B">
            <w:pPr>
              <w:pStyle w:val="BodyText"/>
            </w:pPr>
            <w:r w:rsidRPr="005C277B">
              <w:rPr>
                <w:rStyle w:val="SpecialBold"/>
              </w:rPr>
              <w:t>Follow safeworking protocols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77B">
            <w:pPr>
              <w:pStyle w:val="BodyText"/>
              <w:rPr>
                <w:lang w:val="en-NZ"/>
              </w:rPr>
            </w:pPr>
            <w:r w:rsidRPr="005C277B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77B">
            <w:pPr>
              <w:pStyle w:val="BodyText"/>
              <w:rPr>
                <w:lang w:val="en-NZ"/>
              </w:rPr>
            </w:pPr>
            <w:r w:rsidRPr="005C277B">
              <w:t>Relevant protocols are followed as required and specified in sa</w:t>
            </w:r>
            <w:r w:rsidRPr="005C277B">
              <w:t>feworking system rules and procedures</w:t>
            </w:r>
          </w:p>
        </w:tc>
      </w:tr>
      <w:tr w:rsidTr="005C27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77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77B">
            <w:pPr>
              <w:pStyle w:val="BodyText"/>
              <w:rPr>
                <w:lang w:val="en-NZ"/>
              </w:rPr>
            </w:pPr>
            <w:r w:rsidRPr="005C277B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77B">
            <w:pPr>
              <w:pStyle w:val="BodyText"/>
              <w:rPr>
                <w:lang w:val="en-NZ"/>
              </w:rPr>
            </w:pPr>
            <w:r w:rsidRPr="005C277B">
              <w:t>Appropriate records and documentation are completed in accordance with the requirements of the applicable safeworking system rules and procedures</w:t>
            </w:r>
          </w:p>
        </w:tc>
      </w:tr>
      <w:tr w:rsidTr="005C27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77B" w:rsidP="005C277B">
            <w:pPr>
              <w:pStyle w:val="BodyText"/>
            </w:pPr>
            <w:r w:rsidRPr="005C277B">
              <w:rPr>
                <w:rStyle w:val="SpecialBold"/>
              </w:rPr>
              <w:t>5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77B" w:rsidP="005C277B">
            <w:pPr>
              <w:pStyle w:val="BodyText"/>
            </w:pPr>
            <w:r w:rsidRPr="005C277B">
              <w:rPr>
                <w:rStyle w:val="SpecialBold"/>
              </w:rPr>
              <w:t>Take action in unsafe situations or emergencies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77B">
            <w:pPr>
              <w:pStyle w:val="BodyText"/>
              <w:rPr>
                <w:lang w:val="en-NZ"/>
              </w:rPr>
            </w:pPr>
            <w:r w:rsidRPr="005C277B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77B">
            <w:pPr>
              <w:pStyle w:val="BodyText"/>
              <w:rPr>
                <w:lang w:val="en-NZ"/>
              </w:rPr>
            </w:pPr>
            <w:r w:rsidRPr="005C277B">
              <w:t>Unsafe situations are identified in accordance with the requirements of the applicable safeworking system rules and procedures</w:t>
            </w:r>
          </w:p>
        </w:tc>
      </w:tr>
      <w:tr w:rsidTr="005C27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77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77B">
            <w:pPr>
              <w:pStyle w:val="BodyText"/>
              <w:rPr>
                <w:lang w:val="en-NZ"/>
              </w:rPr>
            </w:pPr>
            <w:r w:rsidRPr="005C277B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77B">
            <w:pPr>
              <w:pStyle w:val="BodyText"/>
              <w:rPr>
                <w:lang w:val="en-NZ"/>
              </w:rPr>
            </w:pPr>
            <w:r w:rsidRPr="005C277B">
              <w:t>Appropriate action is taken to report and/or control safety incidents, identified unsafe situations or emergencies, in acc</w:t>
            </w:r>
            <w:r w:rsidRPr="005C277B">
              <w:t>ordance with rail safety worker duty of care responsibilities and the requirements of applicable safeworking system rules and procedures</w:t>
            </w:r>
          </w:p>
        </w:tc>
      </w:tr>
      <w:tr w:rsidTr="005C27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77B" w:rsidP="005C277B">
            <w:pPr>
              <w:pStyle w:val="BodyText"/>
            </w:pPr>
            <w:r w:rsidRPr="005C277B">
              <w:rPr>
                <w:rStyle w:val="SpecialBold"/>
              </w:rPr>
              <w:t>6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77B" w:rsidP="005C277B">
            <w:pPr>
              <w:pStyle w:val="BodyText"/>
            </w:pPr>
            <w:r w:rsidRPr="005C277B">
              <w:rPr>
                <w:rStyle w:val="SpecialBold"/>
              </w:rPr>
              <w:t>Record unsafe situations or emergencies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77B">
            <w:pPr>
              <w:pStyle w:val="BodyText"/>
              <w:rPr>
                <w:lang w:val="en-NZ"/>
              </w:rPr>
            </w:pPr>
            <w:r w:rsidRPr="005C277B">
              <w:rPr>
                <w:rStyle w:val="SpecialBold"/>
              </w:rPr>
              <w:t>6.1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77B">
            <w:pPr>
              <w:pStyle w:val="BodyText"/>
              <w:rPr>
                <w:lang w:val="en-NZ"/>
              </w:rPr>
            </w:pPr>
            <w:r w:rsidRPr="005C277B">
              <w:t>Appropriate records and documentation of safety incidents, identified un</w:t>
            </w:r>
            <w:r w:rsidRPr="005C277B">
              <w:t>safe situations or emergencies are completed in accordance with the requirements of applicable safeworking system rules and procedures</w:t>
            </w:r>
          </w:p>
        </w:tc>
      </w:tr>
      <w:tr w:rsidTr="005C27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77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77B">
            <w:pPr>
              <w:pStyle w:val="BodyText"/>
              <w:rPr>
                <w:lang w:val="en-NZ"/>
              </w:rPr>
            </w:pPr>
            <w:r w:rsidRPr="005C277B">
              <w:rPr>
                <w:rStyle w:val="SpecialBold"/>
              </w:rPr>
              <w:t>6.2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77B" w:rsidP="005C277B">
            <w:pPr>
              <w:pStyle w:val="BodyText"/>
            </w:pPr>
            <w:r w:rsidRPr="005C277B">
              <w:t>Records of safety incidents, identified unsafe situations or emergencies are maintained in accordance with the req</w:t>
            </w:r>
            <w:r w:rsidRPr="005C277B">
              <w:t>uirements of applicable safeworking system rules and procedures</w:t>
            </w:r>
          </w:p>
        </w:tc>
      </w:tr>
    </w:tbl>
    <w:p w:rsidR="00BB28BF" w:rsidP="005C277B">
      <w:pPr>
        <w:pStyle w:val="NoPaddingFontSize1"/>
      </w:pPr>
    </w:p>
    <w:p w:rsidR="00BB28BF" w:rsidP="005C277B">
      <w:pPr>
        <w:pStyle w:val="NoPaddingFontSize1"/>
      </w:pPr>
    </w:p>
    <w:p w:rsidR="00000000" w:rsidRPr="005C277B" w:rsidP="005C277B">
      <w:pPr>
        <w:pStyle w:val="Heading1"/>
      </w:pPr>
      <w:bookmarkStart w:id="7" w:name="O_1118912"/>
      <w:bookmarkEnd w:id="7"/>
      <w:r w:rsidRPr="005C277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C27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77B" w:rsidP="005C277B">
            <w:pPr>
              <w:pStyle w:val="BodyText"/>
            </w:pPr>
            <w:r w:rsidRPr="005C277B">
              <w:t>Foundation skills essential to performance are explicit in the performance criteria of this unit of competency.</w:t>
            </w:r>
          </w:p>
        </w:tc>
      </w:tr>
    </w:tbl>
    <w:p w:rsidR="00000000" w:rsidRPr="005C277B" w:rsidP="005C277B">
      <w:pPr>
        <w:pStyle w:val="NoPaddingFontSize1"/>
      </w:pPr>
    </w:p>
    <w:p w:rsidR="00000000" w:rsidRPr="005C277B" w:rsidP="005C277B">
      <w:pPr>
        <w:pStyle w:val="AllowPageBreak"/>
      </w:pPr>
    </w:p>
    <w:p w:rsidR="00000000" w:rsidRPr="005C277B" w:rsidP="005C277B">
      <w:pPr>
        <w:pStyle w:val="Heading1"/>
      </w:pPr>
      <w:bookmarkStart w:id="8" w:name="O_1118911"/>
      <w:bookmarkEnd w:id="8"/>
      <w:r w:rsidRPr="005C277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C27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77B" w:rsidP="005C277B">
            <w:pPr>
              <w:pStyle w:val="BodyText"/>
            </w:pPr>
            <w:r w:rsidRPr="005C277B">
              <w:t>Range is restricted to essential operating conditions and any other variables essential to the work environment.</w:t>
            </w:r>
          </w:p>
        </w:tc>
      </w:tr>
    </w:tbl>
    <w:p w:rsidR="00000000" w:rsidRPr="005C277B" w:rsidP="005C277B">
      <w:pPr>
        <w:pStyle w:val="NoPaddingFontSize1"/>
      </w:pPr>
    </w:p>
    <w:p w:rsidR="00000000" w:rsidRPr="005C277B" w:rsidP="005C277B">
      <w:pPr>
        <w:pStyle w:val="AllowPageBreak"/>
      </w:pPr>
    </w:p>
    <w:p w:rsidR="00000000" w:rsidRPr="005C277B" w:rsidP="005C277B">
      <w:pPr>
        <w:pStyle w:val="Heading1"/>
      </w:pPr>
      <w:bookmarkStart w:id="9" w:name="O_1118910"/>
      <w:bookmarkEnd w:id="9"/>
      <w:r w:rsidRPr="005C277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C27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77B" w:rsidP="005C277B">
            <w:pPr>
              <w:pStyle w:val="BodyText"/>
            </w:pPr>
            <w:r w:rsidRPr="005C277B">
              <w:t>This unit replaces and is equivalent to TLIF3058A Apply safeworking rules and regulations to rai</w:t>
            </w:r>
            <w:r w:rsidRPr="005C277B">
              <w:t>l functions.</w:t>
            </w:r>
          </w:p>
        </w:tc>
      </w:tr>
    </w:tbl>
    <w:p w:rsidR="00000000" w:rsidRPr="005C277B" w:rsidP="005C277B">
      <w:pPr>
        <w:pStyle w:val="NoPaddingFontSize1"/>
      </w:pPr>
    </w:p>
    <w:p w:rsidR="00000000" w:rsidRPr="005C277B" w:rsidP="005C277B">
      <w:pPr>
        <w:pStyle w:val="AllowPageBreak"/>
      </w:pPr>
    </w:p>
    <w:p w:rsidR="00000000" w:rsidRPr="005C277B" w:rsidP="005C277B">
      <w:pPr>
        <w:pStyle w:val="Heading1"/>
      </w:pPr>
      <w:bookmarkStart w:id="10" w:name="O_1118919"/>
      <w:bookmarkEnd w:id="10"/>
      <w:r w:rsidRPr="005C277B">
        <w:t>Links</w:t>
      </w:r>
    </w:p>
    <w:p w:rsidR="00000000" w:rsidRPr="005C277B" w:rsidP="00BB28BF">
      <w:pPr>
        <w:pStyle w:val="BodyText"/>
      </w:pPr>
      <w:r w:rsidRPr="005C277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406701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5C277B" w:rsidP="005C277B"/>
    <w:sectPr w:rsidSect="005C277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77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77B" w:rsidRPr="00BB28BF" w:rsidP="00BB28B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77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28BF" w:rsidP="005C27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B28BF" w:rsidP="005C27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BB28BF" w:rsidP="005C277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77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28B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C277B" w:rsidRPr="00BB28BF" w:rsidP="00BB28B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77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28BF" w:rsidRPr="002D2AF8" w:rsidP="005C27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TLIF3058 Apply safeworking rules and regulations to rail functions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BB28BF" w:rsidP="005C277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876E4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580F84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277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C277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C277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C277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C277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C277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C277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C277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C277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C277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C27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C277B"/>
  </w:style>
  <w:style w:type="character" w:customStyle="1" w:styleId="Heading1Char">
    <w:name w:val="Heading 1 Char"/>
    <w:basedOn w:val="DefaultParagraphFont"/>
    <w:link w:val="Heading1"/>
    <w:rsid w:val="005C277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C277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C277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C277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C277B"/>
    <w:rPr>
      <w:b/>
      <w:spacing w:val="0"/>
    </w:rPr>
  </w:style>
  <w:style w:type="paragraph" w:customStyle="1" w:styleId="SuperHeading">
    <w:name w:val="SuperHeading"/>
    <w:basedOn w:val="Normal"/>
    <w:rsid w:val="005C277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C277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C277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C277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C277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C27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C27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C27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C27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C277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C277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C277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C277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C277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C277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C277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C277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C277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C277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C277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C277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C277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C277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C277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C277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C277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C277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C277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C277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C277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C277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C277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C277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C277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C277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C277B"/>
    <w:rPr>
      <w:i/>
    </w:rPr>
  </w:style>
  <w:style w:type="paragraph" w:styleId="Caption">
    <w:name w:val="caption"/>
    <w:basedOn w:val="BodyText"/>
    <w:next w:val="Normal"/>
    <w:qFormat/>
    <w:rsid w:val="005C277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C277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C277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C277B"/>
  </w:style>
  <w:style w:type="paragraph" w:styleId="TableofFigures">
    <w:name w:val="table of figures"/>
    <w:basedOn w:val="Normal"/>
    <w:next w:val="Normal"/>
    <w:semiHidden/>
    <w:rsid w:val="005C277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C277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C277B"/>
    <w:rPr>
      <w:rFonts w:ascii="Wingdings" w:hAnsi="Wingdings"/>
    </w:rPr>
  </w:style>
  <w:style w:type="paragraph" w:customStyle="1" w:styleId="TableHeading">
    <w:name w:val="Table Heading"/>
    <w:basedOn w:val="HeadingBase"/>
    <w:rsid w:val="005C277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C277B"/>
    <w:rPr>
      <w:color w:val="0033CC"/>
      <w:u w:val="none"/>
    </w:rPr>
  </w:style>
  <w:style w:type="paragraph" w:customStyle="1" w:styleId="BodyTextRight">
    <w:name w:val="Body Text Right"/>
    <w:basedOn w:val="BodyText"/>
    <w:rsid w:val="005C277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C277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C277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C277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C277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C277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C277B"/>
    <w:rPr>
      <w:sz w:val="32"/>
    </w:rPr>
  </w:style>
  <w:style w:type="paragraph" w:customStyle="1" w:styleId="HeadingProcedure">
    <w:name w:val="Heading Procedure"/>
    <w:basedOn w:val="HeadingBase"/>
    <w:next w:val="Normal"/>
    <w:rsid w:val="005C277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C277B"/>
    <w:pPr>
      <w:spacing w:before="60" w:after="60"/>
    </w:pPr>
  </w:style>
  <w:style w:type="paragraph" w:styleId="ListContinue">
    <w:name w:val="List Continue"/>
    <w:basedOn w:val="List"/>
    <w:rsid w:val="005C277B"/>
    <w:pPr>
      <w:ind w:firstLine="0"/>
    </w:pPr>
  </w:style>
  <w:style w:type="paragraph" w:customStyle="1" w:styleId="ListNote">
    <w:name w:val="List Note"/>
    <w:basedOn w:val="List"/>
    <w:rsid w:val="005C277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C277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C277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C277B"/>
    <w:rPr>
      <w:rFonts w:ascii="Courier New" w:hAnsi="Courier New"/>
    </w:rPr>
  </w:style>
  <w:style w:type="paragraph" w:customStyle="1" w:styleId="NoteBullet">
    <w:name w:val="Note Bullet"/>
    <w:basedOn w:val="Note"/>
    <w:rsid w:val="005C277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C277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C277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C277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C277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C277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C277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C277B"/>
    <w:rPr>
      <w:b/>
      <w:smallCaps/>
    </w:rPr>
  </w:style>
  <w:style w:type="paragraph" w:customStyle="1" w:styleId="TableListNumber">
    <w:name w:val="Table List Number"/>
    <w:basedOn w:val="ListNumber"/>
    <w:rsid w:val="005C277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C277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C277B"/>
    <w:pPr>
      <w:numPr>
        <w:numId w:val="8"/>
      </w:numPr>
    </w:pPr>
  </w:style>
  <w:style w:type="paragraph" w:customStyle="1" w:styleId="ListAlpha2">
    <w:name w:val="List Alpha 2"/>
    <w:basedOn w:val="List2"/>
    <w:rsid w:val="005C277B"/>
    <w:pPr>
      <w:numPr>
        <w:numId w:val="7"/>
      </w:numPr>
    </w:pPr>
  </w:style>
  <w:style w:type="paragraph" w:styleId="List2">
    <w:name w:val="List 2"/>
    <w:basedOn w:val="BodyText"/>
    <w:rsid w:val="005C277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C277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C277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C277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C277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C277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C277B"/>
    <w:pPr>
      <w:numPr>
        <w:numId w:val="3"/>
      </w:numPr>
    </w:pPr>
  </w:style>
  <w:style w:type="paragraph" w:styleId="ListContinue2">
    <w:name w:val="List Continue 2"/>
    <w:basedOn w:val="List2"/>
    <w:rsid w:val="005C277B"/>
    <w:pPr>
      <w:ind w:firstLine="0"/>
    </w:pPr>
  </w:style>
  <w:style w:type="paragraph" w:styleId="ListContinue3">
    <w:name w:val="List Continue 3"/>
    <w:basedOn w:val="List3"/>
    <w:rsid w:val="005C277B"/>
    <w:pPr>
      <w:ind w:left="1021" w:firstLine="0"/>
    </w:pPr>
  </w:style>
  <w:style w:type="paragraph" w:styleId="ListContinue4">
    <w:name w:val="List Continue 4"/>
    <w:basedOn w:val="List4"/>
    <w:rsid w:val="005C277B"/>
    <w:pPr>
      <w:ind w:firstLine="0"/>
    </w:pPr>
  </w:style>
  <w:style w:type="paragraph" w:styleId="ListContinue5">
    <w:name w:val="List Continue 5"/>
    <w:basedOn w:val="List5"/>
    <w:rsid w:val="005C277B"/>
    <w:pPr>
      <w:ind w:firstLine="0"/>
    </w:pPr>
  </w:style>
  <w:style w:type="paragraph" w:styleId="ListNumber3">
    <w:name w:val="List Number 3"/>
    <w:basedOn w:val="List3"/>
    <w:rsid w:val="005C277B"/>
    <w:pPr>
      <w:numPr>
        <w:numId w:val="4"/>
      </w:numPr>
    </w:pPr>
  </w:style>
  <w:style w:type="paragraph" w:styleId="ListNumber4">
    <w:name w:val="List Number 4"/>
    <w:basedOn w:val="List4"/>
    <w:rsid w:val="005C277B"/>
    <w:pPr>
      <w:numPr>
        <w:numId w:val="5"/>
      </w:numPr>
    </w:pPr>
  </w:style>
  <w:style w:type="paragraph" w:styleId="ListNumber5">
    <w:name w:val="List Number 5"/>
    <w:basedOn w:val="List5"/>
    <w:rsid w:val="005C277B"/>
    <w:pPr>
      <w:numPr>
        <w:numId w:val="6"/>
      </w:numPr>
    </w:pPr>
  </w:style>
  <w:style w:type="paragraph" w:styleId="BlockText">
    <w:name w:val="Block Text"/>
    <w:basedOn w:val="Normal"/>
    <w:rsid w:val="005C277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C277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C277B"/>
    <w:rPr>
      <w:sz w:val="16"/>
      <w:vertAlign w:val="superscript"/>
    </w:rPr>
  </w:style>
  <w:style w:type="character" w:customStyle="1" w:styleId="Symbols">
    <w:name w:val="Symbols"/>
    <w:basedOn w:val="DefaultParagraphFont"/>
    <w:rsid w:val="005C277B"/>
    <w:rPr>
      <w:rFonts w:ascii="Symbol" w:hAnsi="Symbol"/>
    </w:rPr>
  </w:style>
  <w:style w:type="character" w:customStyle="1" w:styleId="MenuOptions">
    <w:name w:val="Menu Options"/>
    <w:basedOn w:val="DefaultParagraphFont"/>
    <w:rsid w:val="005C277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C277B"/>
    <w:rPr>
      <w:b/>
    </w:rPr>
  </w:style>
  <w:style w:type="character" w:customStyle="1" w:styleId="Underlined">
    <w:name w:val="Underlined"/>
    <w:basedOn w:val="DefaultParagraphFont"/>
    <w:rsid w:val="005C277B"/>
    <w:rPr>
      <w:u w:val="single"/>
    </w:rPr>
  </w:style>
  <w:style w:type="paragraph" w:customStyle="1" w:styleId="TableBodyTextRight">
    <w:name w:val="Table Body Text Right"/>
    <w:basedOn w:val="TableBodyText"/>
    <w:rsid w:val="005C277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C277B"/>
    <w:rPr>
      <w:sz w:val="18"/>
    </w:rPr>
  </w:style>
  <w:style w:type="paragraph" w:customStyle="1" w:styleId="BodySmallRight">
    <w:name w:val="Body Small Right"/>
    <w:basedOn w:val="BodyTextRight"/>
    <w:rsid w:val="005C277B"/>
    <w:rPr>
      <w:sz w:val="18"/>
      <w:szCs w:val="18"/>
    </w:rPr>
  </w:style>
  <w:style w:type="paragraph" w:customStyle="1" w:styleId="MarginEdition">
    <w:name w:val="Margin Edition"/>
    <w:basedOn w:val="MarginNote"/>
    <w:rsid w:val="005C277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C277B"/>
    <w:rPr>
      <w:sz w:val="2"/>
      <w:szCs w:val="2"/>
    </w:rPr>
  </w:style>
  <w:style w:type="character" w:customStyle="1" w:styleId="Small">
    <w:name w:val="Small"/>
    <w:basedOn w:val="DefaultParagraphFont"/>
    <w:rsid w:val="005C277B"/>
    <w:rPr>
      <w:sz w:val="16"/>
    </w:rPr>
  </w:style>
  <w:style w:type="paragraph" w:customStyle="1" w:styleId="WideTable">
    <w:name w:val="Wide Table"/>
    <w:basedOn w:val="Normal"/>
    <w:rsid w:val="005C277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C277B"/>
  </w:style>
  <w:style w:type="paragraph" w:styleId="Quote">
    <w:name w:val="Quote"/>
    <w:basedOn w:val="Heading1"/>
    <w:link w:val="QuoteChar"/>
    <w:qFormat/>
    <w:rsid w:val="005C277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C277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C277B"/>
    <w:pPr>
      <w:pageBreakBefore/>
    </w:pPr>
  </w:style>
  <w:style w:type="paragraph" w:customStyle="1" w:styleId="Border">
    <w:name w:val="Border"/>
    <w:basedOn w:val="Normal"/>
    <w:qFormat/>
    <w:rsid w:val="005C277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C277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27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277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C277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C277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C277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C277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C277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C277B"/>
    <w:rPr>
      <w:u w:val="single"/>
    </w:rPr>
  </w:style>
  <w:style w:type="character" w:customStyle="1" w:styleId="BoldandItalics">
    <w:name w:val="Bold and Italics"/>
    <w:qFormat/>
    <w:rsid w:val="005C277B"/>
    <w:rPr>
      <w:b/>
      <w:i/>
      <w:u w:val="none"/>
    </w:rPr>
  </w:style>
  <w:style w:type="paragraph" w:styleId="BalloonText">
    <w:name w:val="Balloon Text"/>
    <w:basedOn w:val="Normal"/>
    <w:link w:val="BalloonTextChar"/>
    <w:rsid w:val="005C27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C277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C277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C277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C277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C277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C277B"/>
    <w:pPr>
      <w:spacing w:before="0" w:after="0"/>
    </w:pPr>
  </w:style>
  <w:style w:type="paragraph" w:customStyle="1" w:styleId="BodyTextBold">
    <w:name w:val="Body Text Bold"/>
    <w:basedOn w:val="BodyText"/>
    <w:qFormat/>
    <w:rsid w:val="005C277B"/>
    <w:rPr>
      <w:b/>
    </w:rPr>
  </w:style>
  <w:style w:type="character" w:styleId="Hyperlink">
    <w:name w:val="Hyperlink"/>
    <w:basedOn w:val="DefaultParagraphFont"/>
    <w:uiPriority w:val="99"/>
    <w:unhideWhenUsed/>
    <w:rsid w:val="00BB28B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627</Words>
  <Characters>3980</Characters>
  <Application>Microsoft Office Word</Application>
  <DocSecurity>0</DocSecurity>
  <Lines>173</Lines>
  <Paragraphs>86</Paragraphs>
  <ScaleCrop>false</ScaleCrop>
  <Company>Author-it Software Corporation Ltd.</Company>
  <LinksUpToDate>false</LinksUpToDate>
  <CharactersWithSpaces>4521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TLIF3058 Apply safeworking rules and regulations to rail functions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2024-07-12T07:48:00Z</dcterms:created>
  <dcterms:modified xsi:type="dcterms:W3CDTF">2024-07-12T07:48:00Z</dcterms:modified>
</cp:coreProperties>
</file>