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26D" w:rsidP="004C1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TLIF3058 Apply safeworking rules and regulations to rail functions</w:t>
      </w:r>
      <w:r>
        <w:fldChar w:fldCharType="end"/>
      </w:r>
    </w:p>
    <w:p w:rsidR="004C126D" w:rsidP="004C126D">
      <w:pPr>
        <w:pStyle w:val="Version"/>
        <w:sectPr w:rsidSect="00F37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7D76" w:rsidP="00F37D76">
      <w:pPr>
        <w:pStyle w:val="SuperHeading"/>
      </w:pPr>
      <w:r w:rsidRPr="00F37D76">
        <w:t>Assessment Requirements for TLIF3058 Apply safeworking rules and regulations to rail functions</w:t>
      </w:r>
    </w:p>
    <w:p w:rsidR="00000000" w:rsidRPr="00F37D76" w:rsidP="00F37D76">
      <w:pPr>
        <w:pStyle w:val="Heading1"/>
      </w:pPr>
      <w:bookmarkStart w:id="1" w:name="O_1118908"/>
      <w:bookmarkEnd w:id="1"/>
      <w:r w:rsidRPr="00F37D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D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D76" w:rsidP="00F37D76">
            <w:pPr>
              <w:pStyle w:val="BodyText"/>
            </w:pPr>
            <w:r w:rsidRPr="00F37D76">
              <w:rPr>
                <w:rStyle w:val="SpecialBold"/>
              </w:rPr>
              <w:t>Release 2</w:t>
            </w:r>
            <w:r w:rsidRPr="00F37D76">
              <w:t>. This is the second release of this unit of competency in the TLI Transport and Logistics Training Package:</w:t>
            </w:r>
          </w:p>
          <w:p w:rsidR="00000000" w:rsidP="00F37D76">
            <w:pPr>
              <w:pStyle w:val="ListBullet"/>
              <w:rPr>
                <w:lang w:val="en-NZ"/>
              </w:rPr>
            </w:pPr>
            <w:r w:rsidRPr="00F37D76">
              <w:t>Minor statement changes in Assessment Conditions.</w:t>
            </w:r>
          </w:p>
        </w:tc>
      </w:tr>
      <w:tr w:rsidTr="00F37D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D76" w:rsidP="00F37D76">
            <w:pPr>
              <w:pStyle w:val="BodyText"/>
            </w:pPr>
            <w:r w:rsidRPr="00F37D76">
              <w:rPr>
                <w:rStyle w:val="SpecialBold"/>
              </w:rPr>
              <w:t>Release 1</w:t>
            </w:r>
            <w:r w:rsidRPr="00F37D76">
              <w:t>. This is the first release of this unit of competency in the TLI Transport and Logistics Training Package.</w:t>
            </w:r>
          </w:p>
        </w:tc>
      </w:tr>
    </w:tbl>
    <w:p w:rsidR="00000000" w:rsidRPr="00F37D76" w:rsidP="00F37D76">
      <w:pPr>
        <w:pStyle w:val="NoPaddingFontSize1"/>
      </w:pPr>
    </w:p>
    <w:p w:rsidR="00000000" w:rsidRPr="00F37D76" w:rsidP="00F37D76">
      <w:pPr>
        <w:pStyle w:val="AllowPageBreak"/>
      </w:pPr>
    </w:p>
    <w:p w:rsidR="00000000" w:rsidRPr="00F37D76" w:rsidP="00F37D76">
      <w:pPr>
        <w:pStyle w:val="Heading1"/>
      </w:pPr>
      <w:bookmarkStart w:id="2" w:name="O_1118907"/>
      <w:bookmarkEnd w:id="2"/>
      <w:r w:rsidRPr="00F37D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D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D76" w:rsidP="00F37D76">
            <w:pPr>
              <w:pStyle w:val="BodyText"/>
            </w:pPr>
            <w:r w:rsidRPr="00F37D76">
              <w:t>Evidence required to demonstrate competence in</w:t>
            </w:r>
            <w:r w:rsidRPr="00F37D76">
              <w:t xml:space="preserve"> this unit must be relevant to and satisfy all of the requirements of the elements and performance criteria on at least one occasion and include:</w:t>
            </w:r>
          </w:p>
          <w:p w:rsidR="00000000" w:rsidRPr="00F37D76" w:rsidP="00F37D76">
            <w:pPr>
              <w:pStyle w:val="ListBullet"/>
            </w:pPr>
            <w:r w:rsidRPr="00F37D76">
              <w:t>applying safeworking system rules, protocols and procedures to rail functions</w:t>
            </w:r>
          </w:p>
          <w:p w:rsidR="00000000" w:rsidRPr="00F37D76" w:rsidP="00F37D76">
            <w:pPr>
              <w:pStyle w:val="ListBullet"/>
            </w:pPr>
            <w:r w:rsidRPr="00F37D76">
              <w:t>checking compliance between wor</w:t>
            </w:r>
            <w:r w:rsidRPr="00F37D76">
              <w:t>k and safeworking rules and regulations and taking appropriate action in accordance with operating procedures when non-compliance is identified</w:t>
            </w:r>
          </w:p>
          <w:p w:rsidR="00000000" w:rsidRPr="00F37D76" w:rsidP="00F37D76">
            <w:pPr>
              <w:pStyle w:val="ListBullet"/>
            </w:pPr>
            <w:r w:rsidRPr="00F37D76">
              <w:t>communicating effectively with others</w:t>
            </w:r>
          </w:p>
          <w:p w:rsidR="00000000" w:rsidRPr="00F37D76" w:rsidP="00F37D76">
            <w:pPr>
              <w:pStyle w:val="ListBullet"/>
            </w:pPr>
            <w:r w:rsidRPr="00F37D76">
              <w:t>completing relevant documentation</w:t>
            </w:r>
          </w:p>
          <w:p w:rsidR="00000000" w:rsidRPr="00F37D76" w:rsidP="00F37D76">
            <w:pPr>
              <w:pStyle w:val="ListBullet"/>
            </w:pPr>
            <w:r w:rsidRPr="00F37D76">
              <w:t>identifying job hazards and taking required actions to minimise, control or eliminate identified hazards</w:t>
            </w:r>
          </w:p>
          <w:p w:rsidR="00000000" w:rsidRPr="00F37D76" w:rsidP="00F37D76">
            <w:pPr>
              <w:pStyle w:val="ListBullet"/>
            </w:pPr>
            <w:r w:rsidRPr="00F37D76">
              <w:t>identifying unsafe or emergency situations that could occur in the workplace and appropriate responses</w:t>
            </w:r>
          </w:p>
          <w:p w:rsidR="00000000" w:rsidRPr="00F37D76" w:rsidP="00F37D76">
            <w:pPr>
              <w:pStyle w:val="ListBullet"/>
            </w:pPr>
            <w:r w:rsidRPr="00F37D76">
              <w:t>implementing contingency plans</w:t>
            </w:r>
          </w:p>
          <w:p w:rsidR="00000000" w:rsidRPr="00F37D76" w:rsidP="00F37D76">
            <w:pPr>
              <w:pStyle w:val="ListBullet"/>
            </w:pPr>
            <w:r w:rsidRPr="00F37D76">
              <w:t xml:space="preserve">interpreting and </w:t>
            </w:r>
            <w:r w:rsidRPr="00F37D76">
              <w:t>following operational instructions and prioritising work</w:t>
            </w:r>
          </w:p>
          <w:p w:rsidR="00000000" w:rsidRPr="00F37D76" w:rsidP="00F37D76">
            <w:pPr>
              <w:pStyle w:val="ListBullet"/>
            </w:pPr>
            <w:r w:rsidRPr="00F37D76">
              <w:t>modifying activities depending on operational contingencies, risk situations and environments</w:t>
            </w:r>
          </w:p>
          <w:p w:rsidR="00000000" w:rsidRPr="00F37D76" w:rsidP="00F37D76">
            <w:pPr>
              <w:pStyle w:val="ListBullet"/>
            </w:pPr>
            <w:r w:rsidRPr="00F37D76">
              <w:t>operating electronic communications equipment to required protocol</w:t>
            </w:r>
          </w:p>
          <w:p w:rsidR="00000000" w:rsidRPr="00F37D76" w:rsidP="00F37D76">
            <w:pPr>
              <w:pStyle w:val="ListBullet"/>
            </w:pPr>
            <w:r w:rsidRPr="00F37D76">
              <w:t>reading and interpreting relevant safe</w:t>
            </w:r>
            <w:r w:rsidRPr="00F37D76">
              <w:t>working rules, regulations and instructions</w:t>
            </w:r>
          </w:p>
          <w:p w:rsidR="00000000" w:rsidRPr="00F37D76" w:rsidP="00F37D76">
            <w:pPr>
              <w:pStyle w:val="ListBullet"/>
            </w:pPr>
            <w:r w:rsidRPr="00F37D76">
              <w:t>using and responding appropriately to a range of radio, hand, light and flag signals</w:t>
            </w:r>
          </w:p>
          <w:p w:rsidR="00000000" w:rsidRPr="00F37D76" w:rsidP="00F37D76">
            <w:pPr>
              <w:pStyle w:val="ListBullet"/>
            </w:pPr>
            <w:r w:rsidRPr="00F37D76">
              <w:t>working collaboratively with others to fulfil safeworking requirements.</w:t>
            </w:r>
          </w:p>
        </w:tc>
      </w:tr>
    </w:tbl>
    <w:p w:rsidR="00000000" w:rsidRPr="00F37D76" w:rsidP="00F37D76">
      <w:pPr>
        <w:pStyle w:val="NoPaddingFontSize1"/>
      </w:pPr>
    </w:p>
    <w:p w:rsidR="00000000" w:rsidRPr="00F37D76" w:rsidP="00F37D76">
      <w:pPr>
        <w:pStyle w:val="AllowPageBreak"/>
      </w:pPr>
    </w:p>
    <w:p w:rsidR="00000000" w:rsidRPr="00F37D76" w:rsidP="00F37D76">
      <w:pPr>
        <w:pStyle w:val="Heading1"/>
      </w:pPr>
      <w:bookmarkStart w:id="3" w:name="O_1118906"/>
      <w:bookmarkEnd w:id="3"/>
      <w:r w:rsidRPr="00F37D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D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D76" w:rsidP="00F37D76">
            <w:pPr>
              <w:pStyle w:val="BodyText"/>
            </w:pPr>
            <w:r w:rsidRPr="00F37D76">
              <w:t>Evidence requir</w:t>
            </w:r>
            <w:r w:rsidRPr="00F37D76">
              <w:t>ed to demonstrate competence in this unit must be relevant to and satisfy all of the requirements of the elements and performance criteria and include knowledge of:</w:t>
            </w:r>
          </w:p>
          <w:p w:rsidR="00000000" w:rsidRPr="00F37D76" w:rsidP="00F37D76">
            <w:pPr>
              <w:pStyle w:val="ListBullet"/>
            </w:pPr>
            <w:r w:rsidRPr="00F37D76">
              <w:t>actions to be taken in safety incidents, identified unsafe situations and emergencies with</w:t>
            </w:r>
            <w:r w:rsidRPr="00F37D76">
              <w:t>in the limits of own responsibility under the applicable safeworking systems</w:t>
            </w:r>
          </w:p>
          <w:p w:rsidR="00000000" w:rsidRPr="00F37D76" w:rsidP="00F37D76">
            <w:pPr>
              <w:pStyle w:val="ListBullet"/>
            </w:pPr>
            <w:r w:rsidRPr="00F37D76">
              <w:t>applicable safeworking system requirements and limitations for applicable rail functions</w:t>
            </w:r>
          </w:p>
          <w:p w:rsidR="00000000" w:rsidRPr="00F37D76" w:rsidP="00F37D76">
            <w:pPr>
              <w:pStyle w:val="ListBullet"/>
            </w:pPr>
            <w:r w:rsidRPr="00F37D76">
              <w:t>applicable state/territory legislated rail safety requirements, relevant codes of practice and/or guidelines</w:t>
            </w:r>
          </w:p>
          <w:p w:rsidR="00000000" w:rsidRPr="00F37D76" w:rsidP="00F37D76">
            <w:pPr>
              <w:pStyle w:val="ListBullet"/>
            </w:pPr>
            <w:r w:rsidRPr="00F37D76">
              <w:t>rail safety worker duty of care responsibilities</w:t>
            </w:r>
          </w:p>
          <w:p w:rsidR="00000000" w:rsidRPr="00F37D76" w:rsidP="00F37D76">
            <w:pPr>
              <w:pStyle w:val="ListBullet"/>
            </w:pPr>
            <w:r w:rsidRPr="00F37D76">
              <w:t>rail terminology as defined in the applicable Rail Infrastructure Manager safeworking system</w:t>
            </w:r>
          </w:p>
          <w:p w:rsidR="00000000" w:rsidRPr="00F37D76" w:rsidP="00F37D76">
            <w:pPr>
              <w:pStyle w:val="ListBullet"/>
            </w:pPr>
            <w:r w:rsidRPr="00F37D76">
              <w:t>relev</w:t>
            </w:r>
            <w:r w:rsidRPr="00F37D76">
              <w:t>ant work health and safety (WHS)/occupational health and safety (OHS) and environmental protection legislation and policies</w:t>
            </w:r>
          </w:p>
          <w:p w:rsidR="00000000" w:rsidRPr="00F37D76" w:rsidP="00F37D76">
            <w:pPr>
              <w:pStyle w:val="ListBullet"/>
            </w:pPr>
            <w:r w:rsidRPr="00F37D76">
              <w:t>safeworking system rules and workplace procedures.</w:t>
            </w:r>
          </w:p>
        </w:tc>
      </w:tr>
    </w:tbl>
    <w:p w:rsidR="00000000" w:rsidRPr="00F37D76" w:rsidP="00F37D76">
      <w:pPr>
        <w:pStyle w:val="NoPaddingFontSize1"/>
      </w:pPr>
    </w:p>
    <w:p w:rsidR="00000000" w:rsidRPr="00F37D76" w:rsidP="00F37D76">
      <w:pPr>
        <w:pStyle w:val="AllowPageBreak"/>
      </w:pPr>
    </w:p>
    <w:p w:rsidR="00000000" w:rsidRPr="00F37D76" w:rsidP="00F37D76">
      <w:pPr>
        <w:pStyle w:val="Heading1"/>
      </w:pPr>
      <w:bookmarkStart w:id="4" w:name="O_1118905"/>
      <w:bookmarkEnd w:id="4"/>
      <w:r w:rsidRPr="00F37D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7D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D76" w:rsidP="00F37D76">
            <w:pPr>
              <w:pStyle w:val="BodyText"/>
            </w:pPr>
            <w:r w:rsidRPr="00F37D76">
              <w:t>Assessors must hold credentials specif</w:t>
            </w:r>
            <w:r w:rsidRPr="00F37D76">
              <w:t xml:space="preserve">ied within the Standards for Registered Training Organisations current at the time of assessment. </w:t>
            </w:r>
          </w:p>
          <w:p w:rsidR="00000000" w:rsidRPr="00F37D76" w:rsidP="00F37D76">
            <w:pPr>
              <w:pStyle w:val="BodyText"/>
            </w:pPr>
            <w:r w:rsidRPr="00F37D76">
              <w:t>Assessment must satisfy the Principles of Assessment and Rules of Evidence and all regulatory requirements included within the Standards for Registered Train</w:t>
            </w:r>
            <w:r w:rsidRPr="00F37D76">
              <w:t>ing Organisations current at the time of assessment.</w:t>
            </w:r>
          </w:p>
          <w:p w:rsidR="00000000" w:rsidRPr="00F37D76" w:rsidP="00F37D76">
            <w:pPr>
              <w:pStyle w:val="BodyText"/>
            </w:pPr>
            <w:r w:rsidRPr="00F37D76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F37D76" w:rsidP="00F37D76">
            <w:pPr>
              <w:pStyle w:val="BodyText"/>
            </w:pPr>
            <w:r w:rsidRPr="00F37D76">
              <w:t>Assessment proc</w:t>
            </w:r>
            <w:r w:rsidRPr="00F37D76">
              <w:t>esses and techniques must be appropriate to the language, literacy and numeracy requirements of the work being performed and the needs of the candidate.</w:t>
            </w:r>
          </w:p>
          <w:p w:rsidR="00000000" w:rsidRPr="00F37D76" w:rsidP="00F37D76">
            <w:pPr>
              <w:pStyle w:val="BodyText"/>
            </w:pPr>
            <w:r w:rsidRPr="00F37D76">
              <w:t>Resources for assessment must include access to:</w:t>
            </w:r>
          </w:p>
          <w:p w:rsidR="00000000" w:rsidRPr="00F37D76" w:rsidP="00F37D76">
            <w:pPr>
              <w:pStyle w:val="ListBullet"/>
            </w:pPr>
            <w:r w:rsidRPr="00F37D76">
              <w:t>a range of relevant exercises, case studies and/or simulations</w:t>
            </w:r>
          </w:p>
          <w:p w:rsidR="00000000" w:rsidRPr="00F37D76" w:rsidP="00F37D76">
            <w:pPr>
              <w:pStyle w:val="ListBullet"/>
            </w:pPr>
            <w:r w:rsidRPr="00F37D76">
              <w:t>relevant and appropriate materials, tools, equipment and personal protective equipment (PPE) currently used in industry</w:t>
            </w:r>
          </w:p>
          <w:p w:rsidR="00000000" w:rsidRPr="00F37D76" w:rsidP="00F37D76">
            <w:pPr>
              <w:pStyle w:val="ListBullet"/>
            </w:pPr>
            <w:r w:rsidRPr="00F37D76">
              <w:t>applicable documentation with terminology as defined by the relevant Rail</w:t>
            </w:r>
            <w:r w:rsidRPr="00F37D76">
              <w:t xml:space="preserve"> Infrastructure Manager safeworking system including workplace procedures, regulations, rules and codes of practice.</w:t>
            </w:r>
          </w:p>
        </w:tc>
      </w:tr>
    </w:tbl>
    <w:p w:rsidR="00000000" w:rsidRPr="00F37D76" w:rsidP="00F37D76">
      <w:pPr>
        <w:pStyle w:val="NoPaddingFontSize1"/>
      </w:pPr>
    </w:p>
    <w:p w:rsidR="00000000" w:rsidRPr="00F37D76" w:rsidP="00F37D76">
      <w:pPr>
        <w:pStyle w:val="AllowPageBreak"/>
      </w:pPr>
    </w:p>
    <w:p w:rsidR="00000000" w:rsidRPr="00F37D76" w:rsidP="00F37D76">
      <w:pPr>
        <w:pStyle w:val="Heading1"/>
      </w:pPr>
      <w:bookmarkStart w:id="5" w:name="O_1118920"/>
      <w:bookmarkEnd w:id="5"/>
      <w:r w:rsidRPr="00F37D76">
        <w:t>Links</w:t>
      </w:r>
    </w:p>
    <w:p w:rsidR="00000000" w:rsidRPr="00F37D76" w:rsidP="004C126D">
      <w:pPr>
        <w:pStyle w:val="BodyText"/>
      </w:pPr>
      <w:r w:rsidRPr="00F37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51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7D76" w:rsidP="00F37D76"/>
    <w:sectPr w:rsidSect="00F37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76" w:rsidRPr="004C126D" w:rsidP="004C1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6D" w:rsidP="00F37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26D" w:rsidP="00F37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126D" w:rsidP="00F37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D76" w:rsidRPr="004C126D" w:rsidP="004C1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6D" w:rsidRPr="002D2AF8" w:rsidP="00F37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TLIF3058 Apply safeworking rules and regulations to rail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C126D" w:rsidP="00F37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CA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C5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D76"/>
  </w:style>
  <w:style w:type="character" w:customStyle="1" w:styleId="Heading1Char">
    <w:name w:val="Heading 1 Char"/>
    <w:basedOn w:val="DefaultParagraphFont"/>
    <w:link w:val="Heading1"/>
    <w:rsid w:val="00F37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D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D76"/>
    <w:rPr>
      <w:b/>
      <w:spacing w:val="0"/>
    </w:rPr>
  </w:style>
  <w:style w:type="paragraph" w:customStyle="1" w:styleId="SuperHeading">
    <w:name w:val="SuperHeading"/>
    <w:basedOn w:val="Normal"/>
    <w:rsid w:val="00F37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7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D76"/>
    <w:rPr>
      <w:i/>
    </w:rPr>
  </w:style>
  <w:style w:type="paragraph" w:styleId="Caption">
    <w:name w:val="caption"/>
    <w:basedOn w:val="BodyText"/>
    <w:next w:val="Normal"/>
    <w:qFormat/>
    <w:rsid w:val="00F37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D76"/>
  </w:style>
  <w:style w:type="paragraph" w:styleId="TableofFigures">
    <w:name w:val="table of figures"/>
    <w:basedOn w:val="Normal"/>
    <w:next w:val="Normal"/>
    <w:semiHidden/>
    <w:rsid w:val="00F37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D76"/>
    <w:rPr>
      <w:rFonts w:ascii="Wingdings" w:hAnsi="Wingdings"/>
    </w:rPr>
  </w:style>
  <w:style w:type="paragraph" w:customStyle="1" w:styleId="TableHeading">
    <w:name w:val="Table Heading"/>
    <w:basedOn w:val="HeadingBase"/>
    <w:rsid w:val="00F37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D76"/>
    <w:rPr>
      <w:color w:val="0033CC"/>
      <w:u w:val="none"/>
    </w:rPr>
  </w:style>
  <w:style w:type="paragraph" w:customStyle="1" w:styleId="BodyTextRight">
    <w:name w:val="Body Text Right"/>
    <w:basedOn w:val="BodyText"/>
    <w:rsid w:val="00F37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D76"/>
    <w:rPr>
      <w:sz w:val="32"/>
    </w:rPr>
  </w:style>
  <w:style w:type="paragraph" w:customStyle="1" w:styleId="HeadingProcedure">
    <w:name w:val="Heading Procedure"/>
    <w:basedOn w:val="HeadingBase"/>
    <w:next w:val="Normal"/>
    <w:rsid w:val="00F37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D76"/>
    <w:pPr>
      <w:spacing w:before="60" w:after="60"/>
    </w:pPr>
  </w:style>
  <w:style w:type="paragraph" w:styleId="ListContinue">
    <w:name w:val="List Continue"/>
    <w:basedOn w:val="List"/>
    <w:rsid w:val="00F37D76"/>
    <w:pPr>
      <w:ind w:firstLine="0"/>
    </w:pPr>
  </w:style>
  <w:style w:type="paragraph" w:customStyle="1" w:styleId="ListNote">
    <w:name w:val="List Note"/>
    <w:basedOn w:val="List"/>
    <w:rsid w:val="00F37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D76"/>
    <w:rPr>
      <w:rFonts w:ascii="Courier New" w:hAnsi="Courier New"/>
    </w:rPr>
  </w:style>
  <w:style w:type="paragraph" w:customStyle="1" w:styleId="NoteBullet">
    <w:name w:val="Note Bullet"/>
    <w:basedOn w:val="Note"/>
    <w:rsid w:val="00F37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D76"/>
    <w:rPr>
      <w:b/>
      <w:smallCaps/>
    </w:rPr>
  </w:style>
  <w:style w:type="paragraph" w:customStyle="1" w:styleId="TableListNumber">
    <w:name w:val="Table List Number"/>
    <w:basedOn w:val="ListNumber"/>
    <w:rsid w:val="00F37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D76"/>
    <w:pPr>
      <w:numPr>
        <w:numId w:val="8"/>
      </w:numPr>
    </w:pPr>
  </w:style>
  <w:style w:type="paragraph" w:customStyle="1" w:styleId="ListAlpha2">
    <w:name w:val="List Alpha 2"/>
    <w:basedOn w:val="List2"/>
    <w:rsid w:val="00F37D76"/>
    <w:pPr>
      <w:numPr>
        <w:numId w:val="7"/>
      </w:numPr>
    </w:pPr>
  </w:style>
  <w:style w:type="paragraph" w:styleId="List2">
    <w:name w:val="List 2"/>
    <w:basedOn w:val="BodyText"/>
    <w:rsid w:val="00F37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D76"/>
    <w:pPr>
      <w:numPr>
        <w:numId w:val="3"/>
      </w:numPr>
    </w:pPr>
  </w:style>
  <w:style w:type="paragraph" w:styleId="ListContinue2">
    <w:name w:val="List Continue 2"/>
    <w:basedOn w:val="List2"/>
    <w:rsid w:val="00F37D76"/>
    <w:pPr>
      <w:ind w:firstLine="0"/>
    </w:pPr>
  </w:style>
  <w:style w:type="paragraph" w:styleId="ListContinue3">
    <w:name w:val="List Continue 3"/>
    <w:basedOn w:val="List3"/>
    <w:rsid w:val="00F37D76"/>
    <w:pPr>
      <w:ind w:left="1021" w:firstLine="0"/>
    </w:pPr>
  </w:style>
  <w:style w:type="paragraph" w:styleId="ListContinue4">
    <w:name w:val="List Continue 4"/>
    <w:basedOn w:val="List4"/>
    <w:rsid w:val="00F37D76"/>
    <w:pPr>
      <w:ind w:firstLine="0"/>
    </w:pPr>
  </w:style>
  <w:style w:type="paragraph" w:styleId="ListContinue5">
    <w:name w:val="List Continue 5"/>
    <w:basedOn w:val="List5"/>
    <w:rsid w:val="00F37D76"/>
    <w:pPr>
      <w:ind w:firstLine="0"/>
    </w:pPr>
  </w:style>
  <w:style w:type="paragraph" w:styleId="ListNumber3">
    <w:name w:val="List Number 3"/>
    <w:basedOn w:val="List3"/>
    <w:rsid w:val="00F37D76"/>
    <w:pPr>
      <w:numPr>
        <w:numId w:val="4"/>
      </w:numPr>
    </w:pPr>
  </w:style>
  <w:style w:type="paragraph" w:styleId="ListNumber4">
    <w:name w:val="List Number 4"/>
    <w:basedOn w:val="List4"/>
    <w:rsid w:val="00F37D76"/>
    <w:pPr>
      <w:numPr>
        <w:numId w:val="5"/>
      </w:numPr>
    </w:pPr>
  </w:style>
  <w:style w:type="paragraph" w:styleId="ListNumber5">
    <w:name w:val="List Number 5"/>
    <w:basedOn w:val="List5"/>
    <w:rsid w:val="00F37D76"/>
    <w:pPr>
      <w:numPr>
        <w:numId w:val="6"/>
      </w:numPr>
    </w:pPr>
  </w:style>
  <w:style w:type="paragraph" w:styleId="BlockText">
    <w:name w:val="Block Text"/>
    <w:basedOn w:val="Normal"/>
    <w:rsid w:val="00F37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D76"/>
    <w:rPr>
      <w:sz w:val="16"/>
      <w:vertAlign w:val="superscript"/>
    </w:rPr>
  </w:style>
  <w:style w:type="character" w:customStyle="1" w:styleId="Symbols">
    <w:name w:val="Symbols"/>
    <w:basedOn w:val="DefaultParagraphFont"/>
    <w:rsid w:val="00F37D76"/>
    <w:rPr>
      <w:rFonts w:ascii="Symbol" w:hAnsi="Symbol"/>
    </w:rPr>
  </w:style>
  <w:style w:type="character" w:customStyle="1" w:styleId="MenuOptions">
    <w:name w:val="Menu Options"/>
    <w:basedOn w:val="DefaultParagraphFont"/>
    <w:rsid w:val="00F37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D76"/>
    <w:rPr>
      <w:b/>
    </w:rPr>
  </w:style>
  <w:style w:type="character" w:customStyle="1" w:styleId="Underlined">
    <w:name w:val="Underlined"/>
    <w:basedOn w:val="DefaultParagraphFont"/>
    <w:rsid w:val="00F37D76"/>
    <w:rPr>
      <w:u w:val="single"/>
    </w:rPr>
  </w:style>
  <w:style w:type="paragraph" w:customStyle="1" w:styleId="TableBodyTextRight">
    <w:name w:val="Table Body Text Right"/>
    <w:basedOn w:val="TableBodyText"/>
    <w:rsid w:val="00F37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D76"/>
    <w:rPr>
      <w:sz w:val="18"/>
    </w:rPr>
  </w:style>
  <w:style w:type="paragraph" w:customStyle="1" w:styleId="BodySmallRight">
    <w:name w:val="Body Small Right"/>
    <w:basedOn w:val="BodyTextRight"/>
    <w:rsid w:val="00F37D76"/>
    <w:rPr>
      <w:sz w:val="18"/>
      <w:szCs w:val="18"/>
    </w:rPr>
  </w:style>
  <w:style w:type="paragraph" w:customStyle="1" w:styleId="MarginEdition">
    <w:name w:val="Margin Edition"/>
    <w:basedOn w:val="MarginNote"/>
    <w:rsid w:val="00F37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D76"/>
    <w:rPr>
      <w:sz w:val="2"/>
      <w:szCs w:val="2"/>
    </w:rPr>
  </w:style>
  <w:style w:type="character" w:customStyle="1" w:styleId="Small">
    <w:name w:val="Small"/>
    <w:basedOn w:val="DefaultParagraphFont"/>
    <w:rsid w:val="00F37D76"/>
    <w:rPr>
      <w:sz w:val="16"/>
    </w:rPr>
  </w:style>
  <w:style w:type="paragraph" w:customStyle="1" w:styleId="WideTable">
    <w:name w:val="Wide Table"/>
    <w:basedOn w:val="Normal"/>
    <w:rsid w:val="00F37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D76"/>
  </w:style>
  <w:style w:type="paragraph" w:styleId="Quote">
    <w:name w:val="Quote"/>
    <w:basedOn w:val="Heading1"/>
    <w:link w:val="QuoteChar"/>
    <w:qFormat/>
    <w:rsid w:val="00F37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D76"/>
    <w:pPr>
      <w:pageBreakBefore/>
    </w:pPr>
  </w:style>
  <w:style w:type="paragraph" w:customStyle="1" w:styleId="Border">
    <w:name w:val="Border"/>
    <w:basedOn w:val="Normal"/>
    <w:qFormat/>
    <w:rsid w:val="00F37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D76"/>
    <w:rPr>
      <w:u w:val="single"/>
    </w:rPr>
  </w:style>
  <w:style w:type="character" w:customStyle="1" w:styleId="BoldandItalics">
    <w:name w:val="Bold and Italics"/>
    <w:qFormat/>
    <w:rsid w:val="00F37D76"/>
    <w:rPr>
      <w:b/>
      <w:i/>
      <w:u w:val="none"/>
    </w:rPr>
  </w:style>
  <w:style w:type="paragraph" w:styleId="BalloonText">
    <w:name w:val="Balloon Text"/>
    <w:basedOn w:val="Normal"/>
    <w:link w:val="BalloonTextChar"/>
    <w:rsid w:val="00F37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D76"/>
    <w:pPr>
      <w:spacing w:before="0" w:after="0"/>
    </w:pPr>
  </w:style>
  <w:style w:type="paragraph" w:customStyle="1" w:styleId="BodyTextBold">
    <w:name w:val="Body Text Bold"/>
    <w:basedOn w:val="BodyText"/>
    <w:qFormat/>
    <w:rsid w:val="00F37D76"/>
    <w:rPr>
      <w:b/>
    </w:rPr>
  </w:style>
  <w:style w:type="character" w:styleId="Hyperlink">
    <w:name w:val="Hyperlink"/>
    <w:basedOn w:val="DefaultParagraphFont"/>
    <w:uiPriority w:val="99"/>
    <w:unhideWhenUsed/>
    <w:rsid w:val="004C1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3594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TLIF3058 Apply safeworking rules and regulations to rail functions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