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5B44" w:rsidP="00525B44">
      <w:pPr>
        <w:pStyle w:val="Title"/>
      </w:pPr>
      <w:r>
        <w:fldChar w:fldCharType="begin"/>
      </w:r>
      <w:r>
        <w:instrText xml:space="preserve"> TITLE   \* MERGEFORMAT </w:instrText>
      </w:r>
      <w:r>
        <w:fldChar w:fldCharType="separate"/>
      </w:r>
      <w:r>
        <w:t>TLIF3022 Implement/monitor procedures when warehousing/storing dangerous goods/hazardous substances</w:t>
      </w:r>
      <w:r>
        <w:fldChar w:fldCharType="end"/>
      </w:r>
    </w:p>
    <w:p w:rsidR="00525B44" w:rsidP="00525B44">
      <w:pPr>
        <w:pStyle w:val="Version"/>
        <w:sectPr w:rsidSect="000706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06DB" w:rsidP="000706DB">
      <w:pPr>
        <w:pStyle w:val="SuperHeading"/>
      </w:pPr>
      <w:r w:rsidRPr="000706DB">
        <w:t>TLIF3022 Implement/monitor procedures when warehousing/storing dangerous goods/hazardous substances</w:t>
      </w:r>
    </w:p>
    <w:p w:rsidR="00000000" w:rsidRPr="000706DB" w:rsidP="000706DB">
      <w:pPr>
        <w:pStyle w:val="Heading1"/>
      </w:pPr>
      <w:bookmarkStart w:id="1" w:name="O_740526"/>
      <w:bookmarkEnd w:id="1"/>
      <w:r w:rsidRPr="000706DB">
        <w:t>Modification History</w:t>
      </w:r>
    </w:p>
    <w:p w:rsidR="00525B44" w:rsidP="00525B44">
      <w:pPr>
        <w:pStyle w:val="BodyText"/>
      </w:pPr>
      <w:r w:rsidRPr="000706DB">
        <w:t>Release 1. This is the first release of this unit of competency in the TLI Transport and Logistics Training Package.</w:t>
      </w:r>
    </w:p>
    <w:p w:rsidR="00000000" w:rsidRPr="000706DB" w:rsidP="000706DB">
      <w:pPr>
        <w:pStyle w:val="Heading1"/>
      </w:pPr>
      <w:bookmarkStart w:id="2" w:name="O_740527"/>
      <w:bookmarkEnd w:id="2"/>
      <w:r w:rsidRPr="000706DB">
        <w:t>Application</w:t>
      </w:r>
    </w:p>
    <w:tbl>
      <w:tblPr>
        <w:tblW w:w="0" w:type="auto"/>
        <w:tblCellMar>
          <w:left w:w="62" w:type="dxa"/>
          <w:right w:w="62" w:type="dxa"/>
        </w:tblCellMar>
        <w:tblLook w:val="0000"/>
      </w:tblPr>
      <w:tblGrid>
        <w:gridCol w:w="9196"/>
      </w:tblGrid>
      <w:tr w:rsidTr="00525B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706DB" w:rsidP="000706DB">
            <w:pPr>
              <w:pStyle w:val="BodyText"/>
            </w:pPr>
            <w:r w:rsidRPr="000706DB">
              <w:t>This unit involves the skills and knowledge required to implement and monitor work health and safety (WHS)/occupational health and safety (OHS) policies, safe work procedures and programs for warehousing or storing dangerous go</w:t>
            </w:r>
            <w:r w:rsidRPr="000706DB">
              <w:t xml:space="preserve">ods and hazardous substances in accordance with regulatory requirements, as part of work undertaken in the transport and logistics industry. </w:t>
            </w:r>
          </w:p>
          <w:p w:rsidR="00000000" w:rsidRPr="000706DB" w:rsidP="000706DB">
            <w:pPr>
              <w:pStyle w:val="BodyText"/>
            </w:pPr>
            <w:r w:rsidRPr="000706DB">
              <w:t>It includes accessing and providing information on legislative requirements, workplace policies and procedures; im</w:t>
            </w:r>
            <w:r w:rsidRPr="000706DB">
              <w:t>plementing and monitoring procedures for identifying and assessing hazards; and implementing and monitoring procedures for controlling risks.</w:t>
            </w:r>
          </w:p>
          <w:p w:rsidR="00000000" w:rsidRPr="000706DB" w:rsidP="000706DB">
            <w:pPr>
              <w:pStyle w:val="BodyText"/>
            </w:pPr>
            <w:r w:rsidRPr="000706DB">
              <w:t xml:space="preserve">Work is performed under general supervision. </w:t>
            </w:r>
          </w:p>
          <w:p w:rsidR="00000000" w:rsidRPr="000706DB" w:rsidP="000706DB">
            <w:pPr>
              <w:pStyle w:val="BodyText"/>
            </w:pPr>
            <w:r w:rsidRPr="000706DB">
              <w:t>No licensing, legislative or certification requirements apply to thi</w:t>
            </w:r>
            <w:r w:rsidRPr="000706DB">
              <w:t>s unit at the time of publication.</w:t>
            </w:r>
          </w:p>
          <w:p w:rsidR="00000000" w:rsidRPr="000706DB" w:rsidP="000706DB">
            <w:pPr>
              <w:pStyle w:val="BodyText"/>
            </w:pPr>
          </w:p>
        </w:tc>
      </w:tr>
    </w:tbl>
    <w:p w:rsidR="00000000" w:rsidRPr="000706DB" w:rsidP="000706DB">
      <w:pPr>
        <w:pStyle w:val="BodyText"/>
      </w:pPr>
    </w:p>
    <w:p w:rsidR="00000000" w:rsidRPr="000706DB" w:rsidP="000706DB">
      <w:pPr>
        <w:pStyle w:val="AllowPageBreak"/>
      </w:pPr>
    </w:p>
    <w:p w:rsidR="00000000" w:rsidRPr="000706DB" w:rsidP="000706DB">
      <w:pPr>
        <w:pStyle w:val="Heading1"/>
      </w:pPr>
      <w:bookmarkStart w:id="3" w:name="O_740528"/>
      <w:bookmarkEnd w:id="3"/>
      <w:r w:rsidRPr="000706DB">
        <w:t>Pre-requisite Unit</w:t>
      </w:r>
    </w:p>
    <w:p w:rsidR="00000000" w:rsidRPr="000706DB" w:rsidP="00525B44">
      <w:pPr>
        <w:pStyle w:val="BodyText"/>
      </w:pPr>
      <w:r w:rsidRPr="000706DB">
        <w:t>Not applicable.</w:t>
      </w:r>
    </w:p>
    <w:p w:rsidR="00000000" w:rsidRPr="000706DB" w:rsidP="000706DB">
      <w:pPr>
        <w:pStyle w:val="Heading1"/>
      </w:pPr>
      <w:bookmarkStart w:id="4" w:name="O_740529"/>
      <w:bookmarkEnd w:id="4"/>
      <w:r w:rsidRPr="000706DB">
        <w:t>Competency Field</w:t>
      </w:r>
    </w:p>
    <w:p w:rsidR="00000000" w:rsidRPr="000706DB" w:rsidP="00525B44">
      <w:pPr>
        <w:pStyle w:val="BodyText"/>
      </w:pPr>
      <w:r w:rsidRPr="000706DB">
        <w:t>F – Safety Management</w:t>
      </w:r>
    </w:p>
    <w:p w:rsidR="00000000" w:rsidRPr="000706DB" w:rsidP="000706DB">
      <w:pPr>
        <w:pStyle w:val="Heading1"/>
      </w:pPr>
      <w:bookmarkStart w:id="5" w:name="O_740530"/>
      <w:bookmarkEnd w:id="5"/>
      <w:r w:rsidRPr="000706DB">
        <w:t>Unit Sector</w:t>
      </w:r>
    </w:p>
    <w:p w:rsidR="00000000" w:rsidRPr="000706DB" w:rsidP="00525B44">
      <w:pPr>
        <w:pStyle w:val="BodyText"/>
      </w:pPr>
      <w:r w:rsidRPr="000706DB">
        <w:t>Not applicable.</w:t>
      </w:r>
    </w:p>
    <w:p w:rsidR="00000000" w:rsidRPr="000706DB" w:rsidP="000706DB">
      <w:pPr>
        <w:pStyle w:val="Heading1"/>
      </w:pPr>
      <w:bookmarkStart w:id="6" w:name="O_740531"/>
      <w:bookmarkEnd w:id="6"/>
      <w:r w:rsidRPr="000706DB">
        <w:t>Elements and Performance Criteria</w:t>
      </w:r>
    </w:p>
    <w:tbl>
      <w:tblPr>
        <w:tblW w:w="0" w:type="auto"/>
        <w:tblCellMar>
          <w:left w:w="62" w:type="dxa"/>
          <w:right w:w="62" w:type="dxa"/>
        </w:tblCellMar>
        <w:tblLook w:val="0000"/>
      </w:tblPr>
      <w:tblGrid>
        <w:gridCol w:w="317"/>
        <w:gridCol w:w="1693"/>
        <w:gridCol w:w="1"/>
        <w:gridCol w:w="528"/>
        <w:gridCol w:w="6657"/>
      </w:tblGrid>
      <w:tr w:rsidTr="00525B4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706DB">
            <w:pPr>
              <w:pStyle w:val="BodyText"/>
              <w:rPr>
                <w:lang w:val="en-NZ"/>
              </w:rPr>
            </w:pPr>
            <w:r w:rsidRPr="000706DB">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0706DB">
            <w:pPr>
              <w:pStyle w:val="BodyText"/>
              <w:rPr>
                <w:lang w:val="en-NZ"/>
              </w:rPr>
            </w:pPr>
            <w:r w:rsidRPr="000706DB">
              <w:t>Performance criteria describe the performance needed to demonstrate achievement of the element.</w:t>
            </w:r>
          </w:p>
        </w:tc>
      </w:tr>
      <w:tr w:rsidTr="00525B4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706DB" w:rsidP="000706DB">
            <w:pPr>
              <w:pStyle w:val="BodyText"/>
            </w:pPr>
            <w:r w:rsidRPr="000706DB">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0706DB">
            <w:pPr>
              <w:pStyle w:val="BodyText"/>
              <w:rPr>
                <w:lang w:val="en-NZ"/>
              </w:rPr>
            </w:pPr>
            <w:r w:rsidRPr="000706DB">
              <w:rPr>
                <w:rStyle w:val="SpecialBold"/>
              </w:rPr>
              <w:t>Provide information on legislative requirements, workplace policies and procedures</w:t>
            </w:r>
          </w:p>
        </w:tc>
        <w:tc>
          <w:tcPr>
            <w:tcW w:w="0" w:type="auto"/>
            <w:gridSpan w:val="2"/>
            <w:tcBorders>
              <w:top w:val="nil"/>
              <w:left w:val="nil"/>
              <w:bottom w:val="nil"/>
              <w:right w:val="nil"/>
            </w:tcBorders>
            <w:tcMar>
              <w:top w:w="0" w:type="dxa"/>
              <w:left w:w="62" w:type="dxa"/>
              <w:bottom w:w="0" w:type="dxa"/>
              <w:right w:w="62" w:type="dxa"/>
            </w:tcMar>
          </w:tcPr>
          <w:p w:rsidR="00000000" w:rsidP="000706DB">
            <w:pPr>
              <w:pStyle w:val="BodyText"/>
              <w:rPr>
                <w:lang w:val="en-NZ"/>
              </w:rPr>
            </w:pPr>
            <w:r w:rsidRPr="000706DB">
              <w:t>1.1</w:t>
            </w:r>
          </w:p>
        </w:tc>
        <w:tc>
          <w:tcPr>
            <w:tcW w:w="0" w:type="auto"/>
            <w:tcBorders>
              <w:top w:val="nil"/>
              <w:left w:val="nil"/>
              <w:bottom w:val="nil"/>
              <w:right w:val="nil"/>
            </w:tcBorders>
            <w:tcMar>
              <w:top w:w="0" w:type="dxa"/>
              <w:left w:w="62" w:type="dxa"/>
              <w:bottom w:w="0" w:type="dxa"/>
              <w:right w:w="62" w:type="dxa"/>
            </w:tcMar>
          </w:tcPr>
          <w:p w:rsidR="00000000" w:rsidP="000706DB">
            <w:pPr>
              <w:pStyle w:val="BodyText"/>
              <w:rPr>
                <w:lang w:val="en-NZ"/>
              </w:rPr>
            </w:pPr>
            <w:r w:rsidRPr="000706DB">
              <w:t>Legislative requirements f</w:t>
            </w:r>
            <w:r w:rsidRPr="000706DB">
              <w:t>or dangerous goods and hazardous substances are identified, stored and retrieved as required</w:t>
            </w:r>
          </w:p>
        </w:tc>
      </w:tr>
      <w:tr w:rsidTr="00525B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706DB">
            <w:pPr>
              <w:pStyle w:val="BodyText"/>
              <w:rPr>
                <w:lang w:val="en-NZ"/>
              </w:rPr>
            </w:pPr>
            <w:r w:rsidRPr="000706DB">
              <w:t>1.2</w:t>
            </w:r>
          </w:p>
        </w:tc>
        <w:tc>
          <w:tcPr>
            <w:tcW w:w="0" w:type="auto"/>
            <w:tcBorders>
              <w:top w:val="nil"/>
              <w:left w:val="nil"/>
              <w:bottom w:val="nil"/>
              <w:right w:val="nil"/>
            </w:tcBorders>
            <w:tcMar>
              <w:top w:w="0" w:type="dxa"/>
              <w:left w:w="62" w:type="dxa"/>
              <w:bottom w:w="0" w:type="dxa"/>
              <w:right w:w="62" w:type="dxa"/>
            </w:tcMar>
          </w:tcPr>
          <w:p w:rsidR="00000000" w:rsidP="000706DB">
            <w:pPr>
              <w:pStyle w:val="BodyText"/>
              <w:rPr>
                <w:lang w:val="en-NZ"/>
              </w:rPr>
            </w:pPr>
            <w:r w:rsidRPr="000706DB">
              <w:t>Information on WHS/OHS policies and safeworking procedures relating to storing dangerous goods and hazardous substances is</w:t>
            </w:r>
            <w:r w:rsidRPr="000706DB">
              <w:t xml:space="preserve"> stored in a readily accessible location and manner</w:t>
            </w:r>
          </w:p>
        </w:tc>
      </w:tr>
      <w:tr w:rsidTr="00525B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706DB">
            <w:pPr>
              <w:pStyle w:val="BodyText"/>
              <w:rPr>
                <w:lang w:val="en-NZ"/>
              </w:rPr>
            </w:pPr>
            <w:r w:rsidRPr="000706DB">
              <w:t>1.3</w:t>
            </w:r>
          </w:p>
        </w:tc>
        <w:tc>
          <w:tcPr>
            <w:tcW w:w="0" w:type="auto"/>
            <w:tcBorders>
              <w:top w:val="nil"/>
              <w:left w:val="nil"/>
              <w:bottom w:val="nil"/>
              <w:right w:val="nil"/>
            </w:tcBorders>
            <w:tcMar>
              <w:top w:w="0" w:type="dxa"/>
              <w:left w:w="62" w:type="dxa"/>
              <w:bottom w:w="0" w:type="dxa"/>
              <w:right w:w="62" w:type="dxa"/>
            </w:tcMar>
          </w:tcPr>
          <w:p w:rsidR="00000000" w:rsidP="000706DB">
            <w:pPr>
              <w:pStyle w:val="BodyText"/>
              <w:rPr>
                <w:lang w:val="en-NZ"/>
              </w:rPr>
            </w:pPr>
            <w:r w:rsidRPr="000706DB">
              <w:t>Information on legislative requirements, workplace policies and safe work procedures relating to storing dangerous goods and hazardous substances  is accurately and clearly explained to work group</w:t>
            </w:r>
          </w:p>
        </w:tc>
      </w:tr>
      <w:tr w:rsidTr="00525B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706DB">
            <w:pPr>
              <w:pStyle w:val="BodyText"/>
              <w:rPr>
                <w:lang w:val="en-NZ"/>
              </w:rPr>
            </w:pPr>
            <w:r w:rsidRPr="000706DB">
              <w:t>1.4</w:t>
            </w:r>
          </w:p>
        </w:tc>
        <w:tc>
          <w:tcPr>
            <w:tcW w:w="0" w:type="auto"/>
            <w:tcBorders>
              <w:top w:val="nil"/>
              <w:left w:val="nil"/>
              <w:bottom w:val="nil"/>
              <w:right w:val="nil"/>
            </w:tcBorders>
            <w:tcMar>
              <w:top w:w="0" w:type="dxa"/>
              <w:left w:w="62" w:type="dxa"/>
              <w:bottom w:w="0" w:type="dxa"/>
              <w:right w:w="62" w:type="dxa"/>
            </w:tcMar>
          </w:tcPr>
          <w:p w:rsidR="00000000" w:rsidP="000706DB">
            <w:pPr>
              <w:pStyle w:val="BodyText"/>
              <w:rPr>
                <w:lang w:val="en-NZ"/>
              </w:rPr>
            </w:pPr>
            <w:r w:rsidRPr="000706DB">
              <w:t>Information on the outcome of hazard identification, risk assessment and control measure implementation is accurately and clearly explained to work group</w:t>
            </w:r>
          </w:p>
        </w:tc>
      </w:tr>
      <w:tr w:rsidTr="00525B4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706DB" w:rsidP="000706DB">
            <w:pPr>
              <w:pStyle w:val="BodyText"/>
            </w:pPr>
            <w:r w:rsidRPr="000706DB">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0706DB">
            <w:pPr>
              <w:pStyle w:val="BodyText"/>
              <w:rPr>
                <w:lang w:val="en-NZ"/>
              </w:rPr>
            </w:pPr>
            <w:r w:rsidRPr="000706DB">
              <w:rPr>
                <w:rStyle w:val="SpecialBold"/>
              </w:rPr>
              <w:t xml:space="preserve">Implement and monitor procedures for identifying hazards and assessing risks </w:t>
            </w:r>
          </w:p>
        </w:tc>
        <w:tc>
          <w:tcPr>
            <w:tcW w:w="0" w:type="auto"/>
            <w:gridSpan w:val="2"/>
            <w:tcBorders>
              <w:top w:val="nil"/>
              <w:left w:val="nil"/>
              <w:bottom w:val="nil"/>
              <w:right w:val="nil"/>
            </w:tcBorders>
            <w:tcMar>
              <w:top w:w="0" w:type="dxa"/>
              <w:left w:w="62" w:type="dxa"/>
              <w:bottom w:w="0" w:type="dxa"/>
              <w:right w:w="62" w:type="dxa"/>
            </w:tcMar>
          </w:tcPr>
          <w:p w:rsidR="00000000" w:rsidP="000706DB">
            <w:pPr>
              <w:pStyle w:val="BodyText"/>
              <w:rPr>
                <w:lang w:val="en-NZ"/>
              </w:rPr>
            </w:pPr>
            <w:r w:rsidRPr="000706DB">
              <w:t>2.1</w:t>
            </w:r>
          </w:p>
        </w:tc>
        <w:tc>
          <w:tcPr>
            <w:tcW w:w="0" w:type="auto"/>
            <w:tcBorders>
              <w:top w:val="nil"/>
              <w:left w:val="nil"/>
              <w:bottom w:val="nil"/>
              <w:right w:val="nil"/>
            </w:tcBorders>
            <w:tcMar>
              <w:top w:w="0" w:type="dxa"/>
              <w:left w:w="62" w:type="dxa"/>
              <w:bottom w:w="0" w:type="dxa"/>
              <w:right w:w="62" w:type="dxa"/>
            </w:tcMar>
          </w:tcPr>
          <w:p w:rsidR="00000000" w:rsidP="000706DB">
            <w:pPr>
              <w:pStyle w:val="BodyText"/>
              <w:rPr>
                <w:lang w:val="en-NZ"/>
              </w:rPr>
            </w:pPr>
            <w:r w:rsidRPr="000706DB">
              <w:t>Dangerous goods or hazardous substances are identified from information provided, including class labels, manifests, safety data sheets (SDSs)/material safety data sheets (MSDSs) and other documentation</w:t>
            </w:r>
          </w:p>
        </w:tc>
      </w:tr>
      <w:tr w:rsidTr="00525B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706DB">
            <w:pPr>
              <w:pStyle w:val="BodyText"/>
              <w:rPr>
                <w:lang w:val="en-NZ"/>
              </w:rPr>
            </w:pPr>
            <w:r w:rsidRPr="000706DB">
              <w:t>2.2</w:t>
            </w:r>
          </w:p>
        </w:tc>
        <w:tc>
          <w:tcPr>
            <w:tcW w:w="0" w:type="auto"/>
            <w:tcBorders>
              <w:top w:val="nil"/>
              <w:left w:val="nil"/>
              <w:bottom w:val="nil"/>
              <w:right w:val="nil"/>
            </w:tcBorders>
            <w:tcMar>
              <w:top w:w="0" w:type="dxa"/>
              <w:left w:w="62" w:type="dxa"/>
              <w:bottom w:w="0" w:type="dxa"/>
              <w:right w:w="62" w:type="dxa"/>
            </w:tcMar>
          </w:tcPr>
          <w:p w:rsidR="00000000" w:rsidP="000706DB">
            <w:pPr>
              <w:pStyle w:val="BodyText"/>
              <w:rPr>
                <w:lang w:val="en-NZ"/>
              </w:rPr>
            </w:pPr>
            <w:r w:rsidRPr="000706DB">
              <w:t>Confirmation is sought from relevant personnel</w:t>
            </w:r>
            <w:r w:rsidRPr="000706DB">
              <w:t xml:space="preserve"> where potentially dangerous goods or hazardous substances do not appear to be appropriately marked</w:t>
            </w:r>
          </w:p>
        </w:tc>
      </w:tr>
      <w:tr w:rsidTr="00525B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706DB">
            <w:pPr>
              <w:pStyle w:val="BodyText"/>
              <w:rPr>
                <w:lang w:val="en-NZ"/>
              </w:rPr>
            </w:pPr>
            <w:r w:rsidRPr="000706DB">
              <w:t>2.3</w:t>
            </w:r>
          </w:p>
        </w:tc>
        <w:tc>
          <w:tcPr>
            <w:tcW w:w="0" w:type="auto"/>
            <w:tcBorders>
              <w:top w:val="nil"/>
              <w:left w:val="nil"/>
              <w:bottom w:val="nil"/>
              <w:right w:val="nil"/>
            </w:tcBorders>
            <w:tcMar>
              <w:top w:w="0" w:type="dxa"/>
              <w:left w:w="62" w:type="dxa"/>
              <w:bottom w:w="0" w:type="dxa"/>
              <w:right w:w="62" w:type="dxa"/>
            </w:tcMar>
          </w:tcPr>
          <w:p w:rsidR="00000000" w:rsidP="000706DB">
            <w:pPr>
              <w:pStyle w:val="BodyText"/>
              <w:rPr>
                <w:lang w:val="en-NZ"/>
              </w:rPr>
            </w:pPr>
            <w:r w:rsidRPr="000706DB">
              <w:t>Risks associated with storing identified dangerous goods or hazardous substances are assessed, reported/recorded in accordance with workplace policy</w:t>
            </w:r>
          </w:p>
        </w:tc>
      </w:tr>
      <w:tr w:rsidTr="00525B4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706DB" w:rsidP="000706DB">
            <w:pPr>
              <w:pStyle w:val="BodyText"/>
            </w:pPr>
            <w:r w:rsidRPr="000706DB">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0706DB">
            <w:pPr>
              <w:pStyle w:val="BodyText"/>
              <w:rPr>
                <w:lang w:val="en-NZ"/>
              </w:rPr>
            </w:pPr>
            <w:r w:rsidRPr="000706DB">
              <w:rPr>
                <w:rStyle w:val="SpecialBold"/>
              </w:rPr>
              <w:t>Implement and monitor risk control procedures</w:t>
            </w:r>
          </w:p>
        </w:tc>
        <w:tc>
          <w:tcPr>
            <w:tcW w:w="0" w:type="auto"/>
            <w:gridSpan w:val="2"/>
            <w:tcBorders>
              <w:top w:val="nil"/>
              <w:left w:val="nil"/>
              <w:bottom w:val="nil"/>
              <w:right w:val="nil"/>
            </w:tcBorders>
            <w:tcMar>
              <w:top w:w="0" w:type="dxa"/>
              <w:left w:w="62" w:type="dxa"/>
              <w:bottom w:w="0" w:type="dxa"/>
              <w:right w:w="62" w:type="dxa"/>
            </w:tcMar>
          </w:tcPr>
          <w:p w:rsidR="00000000" w:rsidP="000706DB">
            <w:pPr>
              <w:pStyle w:val="BodyText"/>
              <w:rPr>
                <w:lang w:val="en-NZ"/>
              </w:rPr>
            </w:pPr>
            <w:r w:rsidRPr="000706DB">
              <w:t>3.1</w:t>
            </w:r>
          </w:p>
        </w:tc>
        <w:tc>
          <w:tcPr>
            <w:tcW w:w="0" w:type="auto"/>
            <w:tcBorders>
              <w:top w:val="nil"/>
              <w:left w:val="nil"/>
              <w:bottom w:val="nil"/>
              <w:right w:val="nil"/>
            </w:tcBorders>
            <w:tcMar>
              <w:top w:w="0" w:type="dxa"/>
              <w:left w:w="62" w:type="dxa"/>
              <w:bottom w:w="0" w:type="dxa"/>
              <w:right w:w="62" w:type="dxa"/>
            </w:tcMar>
          </w:tcPr>
          <w:p w:rsidR="00000000" w:rsidP="000706DB">
            <w:pPr>
              <w:pStyle w:val="BodyText"/>
              <w:rPr>
                <w:lang w:val="en-NZ"/>
              </w:rPr>
            </w:pPr>
            <w:r w:rsidRPr="000706DB">
              <w:t>Established risk control measures for safely storing  dangerous goods and hazardous substances  are implemented, monitored and reviewed in accordance with workplace procedures</w:t>
            </w:r>
          </w:p>
        </w:tc>
      </w:tr>
      <w:tr w:rsidTr="00525B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706DB">
            <w:pPr>
              <w:pStyle w:val="BodyText"/>
              <w:rPr>
                <w:lang w:val="en-NZ"/>
              </w:rPr>
            </w:pPr>
            <w:r w:rsidRPr="000706DB">
              <w:t>3.2</w:t>
            </w:r>
          </w:p>
        </w:tc>
        <w:tc>
          <w:tcPr>
            <w:tcW w:w="0" w:type="auto"/>
            <w:tcBorders>
              <w:top w:val="nil"/>
              <w:left w:val="nil"/>
              <w:bottom w:val="nil"/>
              <w:right w:val="nil"/>
            </w:tcBorders>
            <w:tcMar>
              <w:top w:w="0" w:type="dxa"/>
              <w:left w:w="62" w:type="dxa"/>
              <w:bottom w:w="0" w:type="dxa"/>
              <w:right w:w="62" w:type="dxa"/>
            </w:tcMar>
          </w:tcPr>
          <w:p w:rsidR="00000000" w:rsidP="000706DB">
            <w:pPr>
              <w:pStyle w:val="BodyText"/>
              <w:rPr>
                <w:lang w:val="en-NZ"/>
              </w:rPr>
            </w:pPr>
            <w:r w:rsidRPr="000706DB">
              <w:t>Workplace procedures</w:t>
            </w:r>
            <w:r w:rsidRPr="000706DB">
              <w:t xml:space="preserve"> to control risks are implemented</w:t>
            </w:r>
          </w:p>
        </w:tc>
      </w:tr>
      <w:tr w:rsidTr="00525B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706DB">
            <w:pPr>
              <w:pStyle w:val="BodyText"/>
              <w:rPr>
                <w:lang w:val="en-NZ"/>
              </w:rPr>
            </w:pPr>
            <w:r w:rsidRPr="000706DB">
              <w:t>3.3</w:t>
            </w:r>
          </w:p>
        </w:tc>
        <w:tc>
          <w:tcPr>
            <w:tcW w:w="0" w:type="auto"/>
            <w:tcBorders>
              <w:top w:val="nil"/>
              <w:left w:val="nil"/>
              <w:bottom w:val="nil"/>
              <w:right w:val="nil"/>
            </w:tcBorders>
            <w:tcMar>
              <w:top w:w="0" w:type="dxa"/>
              <w:left w:w="62" w:type="dxa"/>
              <w:bottom w:w="0" w:type="dxa"/>
              <w:right w:w="62" w:type="dxa"/>
            </w:tcMar>
          </w:tcPr>
          <w:p w:rsidR="00000000" w:rsidP="000706DB">
            <w:pPr>
              <w:pStyle w:val="BodyText"/>
              <w:rPr>
                <w:lang w:val="en-NZ"/>
              </w:rPr>
            </w:pPr>
            <w:r w:rsidRPr="000706DB">
              <w:t>Adherence to risk control procedures by work group is monitored in accordance with workplace procedures</w:t>
            </w:r>
          </w:p>
        </w:tc>
      </w:tr>
      <w:tr w:rsidTr="00525B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706DB">
            <w:pPr>
              <w:pStyle w:val="BodyText"/>
              <w:rPr>
                <w:lang w:val="en-NZ"/>
              </w:rPr>
            </w:pPr>
            <w:r w:rsidRPr="000706DB">
              <w:t>3.4</w:t>
            </w:r>
          </w:p>
        </w:tc>
        <w:tc>
          <w:tcPr>
            <w:tcW w:w="0" w:type="auto"/>
            <w:tcBorders>
              <w:top w:val="nil"/>
              <w:left w:val="nil"/>
              <w:bottom w:val="nil"/>
              <w:right w:val="nil"/>
            </w:tcBorders>
            <w:tcMar>
              <w:top w:w="0" w:type="dxa"/>
              <w:left w:w="62" w:type="dxa"/>
              <w:bottom w:w="0" w:type="dxa"/>
              <w:right w:w="62" w:type="dxa"/>
            </w:tcMar>
          </w:tcPr>
          <w:p w:rsidR="00000000" w:rsidP="000706DB">
            <w:pPr>
              <w:pStyle w:val="BodyText"/>
              <w:rPr>
                <w:lang w:val="en-NZ"/>
              </w:rPr>
            </w:pPr>
            <w:r w:rsidRPr="000706DB">
              <w:t>Improvements to existing risk control measures are identified, including required resources for implementation, and reported to appropriate personnel, as required</w:t>
            </w:r>
          </w:p>
        </w:tc>
      </w:tr>
      <w:tr w:rsidTr="00525B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706DB">
            <w:pPr>
              <w:pStyle w:val="BodyText"/>
              <w:rPr>
                <w:lang w:val="en-NZ"/>
              </w:rPr>
            </w:pPr>
            <w:r w:rsidRPr="000706DB">
              <w:t>3.5</w:t>
            </w:r>
          </w:p>
        </w:tc>
        <w:tc>
          <w:tcPr>
            <w:tcW w:w="0" w:type="auto"/>
            <w:tcBorders>
              <w:top w:val="nil"/>
              <w:left w:val="nil"/>
              <w:bottom w:val="nil"/>
              <w:right w:val="nil"/>
            </w:tcBorders>
            <w:tcMar>
              <w:top w:w="0" w:type="dxa"/>
              <w:left w:w="62" w:type="dxa"/>
              <w:bottom w:w="0" w:type="dxa"/>
              <w:right w:w="62" w:type="dxa"/>
            </w:tcMar>
          </w:tcPr>
          <w:p w:rsidR="00000000" w:rsidRPr="000706DB" w:rsidP="000706DB">
            <w:pPr>
              <w:pStyle w:val="BodyText"/>
            </w:pPr>
            <w:r w:rsidRPr="000706DB">
              <w:t>Procedures for monitoring and controlling risks comply with the  hierarchy of risk con</w:t>
            </w:r>
            <w:r w:rsidRPr="000706DB">
              <w:t>trols</w:t>
            </w:r>
          </w:p>
        </w:tc>
      </w:tr>
    </w:tbl>
    <w:p w:rsidR="00525B44" w:rsidP="000706DB">
      <w:pPr>
        <w:pStyle w:val="BodyText"/>
      </w:pPr>
    </w:p>
    <w:p w:rsidR="00525B44" w:rsidP="000706DB">
      <w:pPr>
        <w:pStyle w:val="BodyText"/>
      </w:pPr>
    </w:p>
    <w:p w:rsidR="00000000" w:rsidRPr="000706DB" w:rsidP="000706DB">
      <w:pPr>
        <w:pStyle w:val="Heading1"/>
      </w:pPr>
      <w:bookmarkStart w:id="7" w:name="O_740532"/>
      <w:bookmarkEnd w:id="7"/>
      <w:r w:rsidRPr="000706DB">
        <w:t>Foundation Skills</w:t>
      </w:r>
    </w:p>
    <w:p w:rsidR="00000000" w:rsidRPr="000706DB" w:rsidP="00525B44">
      <w:pPr>
        <w:pStyle w:val="BodyText"/>
      </w:pPr>
      <w:r w:rsidRPr="000706DB">
        <w:t>Foundation skills essential to performance are explicit in the performance criteria of this unit of competency.</w:t>
      </w:r>
    </w:p>
    <w:p w:rsidR="00000000" w:rsidRPr="000706DB" w:rsidP="000706DB">
      <w:pPr>
        <w:pStyle w:val="Heading1"/>
      </w:pPr>
      <w:bookmarkStart w:id="8" w:name="O_740533"/>
      <w:bookmarkEnd w:id="8"/>
      <w:r w:rsidRPr="000706DB">
        <w:t>Range of Conditions</w:t>
      </w:r>
    </w:p>
    <w:p w:rsidR="00000000" w:rsidRPr="000706DB" w:rsidP="00525B44">
      <w:pPr>
        <w:pStyle w:val="BodyText"/>
      </w:pPr>
      <w:r w:rsidRPr="000706DB">
        <w:t>Range is restricted to essential operating conditions and any other variables essential to the work environment.</w:t>
      </w:r>
    </w:p>
    <w:p w:rsidR="00525B44" w:rsidP="00525B44">
      <w:pPr>
        <w:pStyle w:val="BodyText"/>
      </w:pPr>
      <w:r w:rsidRPr="000706DB">
        <w:t>Non-essential conditions can be found in the Companion Volume Implementation Guide.</w:t>
      </w:r>
    </w:p>
    <w:p w:rsidR="00000000" w:rsidRPr="000706DB" w:rsidP="000706DB">
      <w:pPr>
        <w:pStyle w:val="Heading1"/>
      </w:pPr>
      <w:bookmarkStart w:id="9" w:name="O_740534"/>
      <w:bookmarkEnd w:id="9"/>
      <w:r w:rsidRPr="000706DB">
        <w:t>Unit Mapping Information</w:t>
      </w:r>
    </w:p>
    <w:p w:rsidR="00525B44" w:rsidP="00525B44">
      <w:pPr>
        <w:pStyle w:val="BodyText"/>
      </w:pPr>
      <w:r w:rsidRPr="000706DB">
        <w:t>This unit replac</w:t>
      </w:r>
      <w:r w:rsidRPr="000706DB">
        <w:t>es and is equivalent to TLIF3022A Implement/monitor procedures when warehousing/storing dangerous goods and/or hazardous substances.</w:t>
      </w:r>
    </w:p>
    <w:p w:rsidR="00000000" w:rsidRPr="000706DB" w:rsidP="000706DB">
      <w:pPr>
        <w:pStyle w:val="Heading1"/>
      </w:pPr>
      <w:bookmarkStart w:id="10" w:name="O_740541"/>
      <w:bookmarkEnd w:id="10"/>
      <w:r w:rsidRPr="000706DB">
        <w:t>Links</w:t>
      </w:r>
    </w:p>
    <w:p w:rsidR="00000000" w:rsidRPr="000706DB" w:rsidP="00525B44">
      <w:pPr>
        <w:pStyle w:val="BodyText"/>
      </w:pPr>
      <w:r w:rsidRPr="000706D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62DC5">
        <w:rPr>
          <w:rStyle w:val="Hyperlink"/>
        </w:rPr>
        <w:t>https://vetnet.gov.au/Pages/TrainingDocs.aspx?q=df441c6e-213d-43e3-874c-0b3f7036d851</w:t>
      </w:r>
      <w:r>
        <w:fldChar w:fldCharType="end"/>
      </w:r>
    </w:p>
    <w:p w:rsidR="00000000" w:rsidRPr="000706DB" w:rsidP="00525B44">
      <w:pPr>
        <w:pStyle w:val="BodyText"/>
        <w:sectPr w:rsidSect="000706DB">
          <w:headerReference w:type="default" r:id="rId10"/>
          <w:footerReference w:type="default" r:id="rId11"/>
          <w:pgSz w:w="11908" w:h="16833"/>
          <w:pgMar w:top="1702" w:right="1418" w:bottom="1702" w:left="1418" w:header="992" w:footer="992" w:gutter="0"/>
          <w:cols w:space="720"/>
          <w:noEndnote/>
          <w:docGrid w:linePitch="299"/>
        </w:sectPr>
      </w:pPr>
    </w:p>
    <w:p w:rsidR="00000000" w:rsidRPr="000706DB" w:rsidP="000706DB">
      <w:pPr>
        <w:pStyle w:val="SuperHeading"/>
      </w:pPr>
      <w:r w:rsidRPr="000706DB">
        <w:t>Assessment Requirements for TLIF3022 Implement/monitor procedures when warehousing/storing dangerous goods/hazardous substances</w:t>
      </w:r>
    </w:p>
    <w:p w:rsidR="00000000" w:rsidRPr="000706DB" w:rsidP="000706DB">
      <w:pPr>
        <w:pStyle w:val="Heading1"/>
      </w:pPr>
      <w:bookmarkStart w:id="11" w:name="O_740536"/>
      <w:bookmarkEnd w:id="11"/>
      <w:r w:rsidRPr="000706DB">
        <w:t>Modification Histo</w:t>
      </w:r>
      <w:r w:rsidRPr="000706DB">
        <w:t>ry</w:t>
      </w:r>
    </w:p>
    <w:p w:rsidR="00525B44" w:rsidP="00525B44">
      <w:pPr>
        <w:pStyle w:val="BodyText"/>
      </w:pPr>
      <w:r w:rsidRPr="000706DB">
        <w:t>Release 1. This is the first release of this unit of competency in the TLI Transport and Logistics Training Package.</w:t>
      </w:r>
    </w:p>
    <w:p w:rsidR="00000000" w:rsidRPr="000706DB" w:rsidP="000706DB">
      <w:pPr>
        <w:pStyle w:val="Heading1"/>
      </w:pPr>
      <w:bookmarkStart w:id="12" w:name="O_740537"/>
      <w:bookmarkEnd w:id="12"/>
      <w:r w:rsidRPr="000706DB">
        <w:t>Performance Evidence</w:t>
      </w:r>
    </w:p>
    <w:tbl>
      <w:tblPr>
        <w:tblW w:w="0" w:type="auto"/>
        <w:tblCellMar>
          <w:left w:w="62" w:type="dxa"/>
          <w:right w:w="62" w:type="dxa"/>
        </w:tblCellMar>
        <w:tblLook w:val="0000"/>
      </w:tblPr>
      <w:tblGrid>
        <w:gridCol w:w="9196"/>
      </w:tblGrid>
      <w:tr w:rsidTr="00525B44">
        <w:tblPrEx>
          <w:tblW w:w="0" w:type="auto"/>
          <w:tblCellMar>
            <w:left w:w="62" w:type="dxa"/>
            <w:right w:w="62" w:type="dxa"/>
          </w:tblCellMar>
          <w:tblLook w:val="0000"/>
        </w:tblPrEx>
        <w:trPr>
          <w:trHeight w:val="952"/>
        </w:trPr>
        <w:tc>
          <w:tcPr>
            <w:tcW w:w="0" w:type="auto"/>
            <w:tcBorders>
              <w:top w:val="nil"/>
              <w:left w:val="nil"/>
              <w:bottom w:val="nil"/>
              <w:right w:val="nil"/>
            </w:tcBorders>
            <w:tcMar>
              <w:top w:w="0" w:type="dxa"/>
              <w:left w:w="62" w:type="dxa"/>
              <w:bottom w:w="0" w:type="dxa"/>
              <w:right w:w="62" w:type="dxa"/>
            </w:tcMar>
          </w:tcPr>
          <w:p w:rsidR="00000000" w:rsidP="000706DB">
            <w:pPr>
              <w:pStyle w:val="BodyText"/>
              <w:rPr>
                <w:lang w:val="en-NZ"/>
              </w:rPr>
            </w:pPr>
            <w:r w:rsidRPr="000706DB">
              <w:t>Evidence required to demonstrate competence in this unit must be relevant to and satisfy all of the requirements of the elements and performance criteria on at least one occasion and include:</w:t>
            </w:r>
          </w:p>
        </w:tc>
      </w:tr>
      <w:tr w:rsidTr="00525B44">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0706DB" w:rsidP="000706DB">
            <w:pPr>
              <w:pStyle w:val="ListBullet2"/>
            </w:pPr>
            <w:r w:rsidRPr="000706DB">
              <w:t xml:space="preserve">applying precautions and required action to minimise, control or eliminate identified hazards </w:t>
            </w:r>
          </w:p>
          <w:p w:rsidR="00000000" w:rsidRPr="000706DB" w:rsidP="000706DB">
            <w:pPr>
              <w:pStyle w:val="ListBullet2"/>
            </w:pPr>
            <w:r w:rsidRPr="000706DB">
              <w:t>assessing handling and storing precautions and requirements for dangerous goods and hazardous substances</w:t>
            </w:r>
          </w:p>
          <w:p w:rsidR="00000000" w:rsidRPr="000706DB" w:rsidP="000706DB">
            <w:pPr>
              <w:pStyle w:val="ListBullet2"/>
            </w:pPr>
            <w:r w:rsidRPr="000706DB">
              <w:t>communicating effectively with others when storing or wa</w:t>
            </w:r>
            <w:r w:rsidRPr="000706DB">
              <w:t>rehousing dangerous goods and hazardous substances</w:t>
            </w:r>
          </w:p>
          <w:p w:rsidR="00000000" w:rsidRPr="000706DB" w:rsidP="000706DB">
            <w:pPr>
              <w:pStyle w:val="ListBullet2"/>
            </w:pPr>
            <w:r w:rsidRPr="000706DB">
              <w:t xml:space="preserve">completing relevant documentation </w:t>
            </w:r>
          </w:p>
          <w:p w:rsidR="00000000" w:rsidRPr="000706DB" w:rsidP="000706DB">
            <w:pPr>
              <w:pStyle w:val="ListBullet2"/>
            </w:pPr>
            <w:r w:rsidRPr="000706DB">
              <w:t>determining required permits</w:t>
            </w:r>
          </w:p>
          <w:p w:rsidR="00000000" w:rsidRPr="000706DB" w:rsidP="000706DB">
            <w:pPr>
              <w:pStyle w:val="ListBullet2"/>
            </w:pPr>
            <w:r w:rsidRPr="000706DB">
              <w:t>identifying containers and goods coding, markings, labels and  emergency information panels for the mode of transport/storage selected</w:t>
            </w:r>
          </w:p>
          <w:p w:rsidR="00000000" w:rsidRPr="000706DB" w:rsidP="000706DB">
            <w:pPr>
              <w:pStyle w:val="ListBullet2"/>
            </w:pPr>
            <w:r w:rsidRPr="000706DB">
              <w:t>identi</w:t>
            </w:r>
            <w:r w:rsidRPr="000706DB">
              <w:t>fying dangerous goods and hazardous substances special requirements</w:t>
            </w:r>
          </w:p>
          <w:p w:rsidR="00000000" w:rsidRPr="000706DB" w:rsidP="000706DB">
            <w:pPr>
              <w:pStyle w:val="ListBullet2"/>
            </w:pPr>
            <w:r w:rsidRPr="000706DB">
              <w:t>identifying dangerous goods and hazardous substances from labels, IMDG markings, HAZCHEM signs and other relevant identification criteria</w:t>
            </w:r>
          </w:p>
          <w:p w:rsidR="00000000" w:rsidRPr="000706DB" w:rsidP="000706DB">
            <w:pPr>
              <w:pStyle w:val="ListBullet2"/>
            </w:pPr>
            <w:r w:rsidRPr="000706DB">
              <w:t>identifying job and site hazards, and planning wor</w:t>
            </w:r>
            <w:r w:rsidRPr="000706DB">
              <w:t>k to minimise risks</w:t>
            </w:r>
          </w:p>
          <w:p w:rsidR="00000000" w:rsidRPr="000706DB" w:rsidP="000706DB">
            <w:pPr>
              <w:pStyle w:val="ListBullet2"/>
            </w:pPr>
            <w:r w:rsidRPr="000706DB">
              <w:t xml:space="preserve">implementing contingency plans </w:t>
            </w:r>
          </w:p>
          <w:p w:rsidR="00000000" w:rsidRPr="000706DB" w:rsidP="000706DB">
            <w:pPr>
              <w:pStyle w:val="ListBullet2"/>
            </w:pPr>
            <w:r w:rsidRPr="000706DB">
              <w:t>interpreting and following operational instructions and prioritising work</w:t>
            </w:r>
          </w:p>
          <w:p w:rsidR="00000000" w:rsidRPr="000706DB" w:rsidP="000706DB">
            <w:pPr>
              <w:pStyle w:val="ListBullet2"/>
            </w:pPr>
            <w:r w:rsidRPr="000706DB">
              <w:t>modifying activities depending on operational contingencies, risk situations and environments</w:t>
            </w:r>
          </w:p>
          <w:p w:rsidR="00000000" w:rsidRPr="000706DB" w:rsidP="000706DB">
            <w:pPr>
              <w:pStyle w:val="ListBullet2"/>
            </w:pPr>
            <w:r w:rsidRPr="000706DB">
              <w:t xml:space="preserve">monitoring work activities in terms </w:t>
            </w:r>
            <w:r w:rsidRPr="000706DB">
              <w:t>of planned schedule</w:t>
            </w:r>
          </w:p>
          <w:p w:rsidR="00000000" w:rsidRPr="000706DB" w:rsidP="000706DB">
            <w:pPr>
              <w:pStyle w:val="ListBullet2"/>
            </w:pPr>
            <w:r w:rsidRPr="000706DB">
              <w:t>operating and adapting to differences in equipment in accordance with standard operating procedures</w:t>
            </w:r>
          </w:p>
          <w:p w:rsidR="00000000" w:rsidRPr="000706DB" w:rsidP="000706DB">
            <w:pPr>
              <w:pStyle w:val="ListBullet2"/>
            </w:pPr>
            <w:r w:rsidRPr="000706DB">
              <w:t>operating electronic communications equipment to required protocol</w:t>
            </w:r>
          </w:p>
          <w:p w:rsidR="00000000" w:rsidRPr="000706DB" w:rsidP="000706DB">
            <w:pPr>
              <w:pStyle w:val="ListBullet2"/>
            </w:pPr>
            <w:r w:rsidRPr="000706DB">
              <w:t>planning own work including predicting consequences and identifying i</w:t>
            </w:r>
            <w:r w:rsidRPr="000706DB">
              <w:t>mprovements</w:t>
            </w:r>
          </w:p>
          <w:p w:rsidR="00000000" w:rsidRPr="000706DB" w:rsidP="000706DB">
            <w:pPr>
              <w:pStyle w:val="ListBullet2"/>
            </w:pPr>
            <w:r w:rsidRPr="000706DB">
              <w:t xml:space="preserve">reading and interpreting relevant instructions, procedures, information and signs </w:t>
            </w:r>
          </w:p>
          <w:p w:rsidR="00000000" w:rsidRPr="000706DB" w:rsidP="000706DB">
            <w:pPr>
              <w:pStyle w:val="ListBullet2"/>
            </w:pPr>
            <w:r w:rsidRPr="000706DB">
              <w:t>selecting and using required personal protective equipment conforming to industry and WHS/OHS standards</w:t>
            </w:r>
          </w:p>
          <w:p w:rsidR="00000000" w:rsidRPr="000706DB" w:rsidP="000706DB">
            <w:pPr>
              <w:pStyle w:val="ListBullet2"/>
            </w:pPr>
            <w:r w:rsidRPr="000706DB">
              <w:t>storing dangerous goods and hazardous substances safely</w:t>
            </w:r>
          </w:p>
          <w:p w:rsidR="00000000" w:rsidRPr="000706DB" w:rsidP="000706DB">
            <w:pPr>
              <w:pStyle w:val="ListBullet2"/>
            </w:pPr>
            <w:r w:rsidRPr="000706DB">
              <w:t>working collaboratively with others when storing or warehousing dangerous goods and hazardous substances</w:t>
            </w:r>
          </w:p>
          <w:p w:rsidR="00000000" w:rsidRPr="000706DB" w:rsidP="000706DB">
            <w:pPr>
              <w:pStyle w:val="ListBullet2"/>
            </w:pPr>
            <w:r w:rsidRPr="000706DB">
              <w:t>working systematically with required attention to detail without injury to self or others, or damage to goods or equipment.</w:t>
            </w:r>
          </w:p>
        </w:tc>
      </w:tr>
    </w:tbl>
    <w:p w:rsidR="00000000" w:rsidRPr="000706DB" w:rsidP="000706DB">
      <w:pPr>
        <w:pStyle w:val="BodyText"/>
      </w:pPr>
    </w:p>
    <w:p w:rsidR="00000000" w:rsidRPr="000706DB" w:rsidP="000706DB">
      <w:pPr>
        <w:pStyle w:val="AllowPageBreak"/>
      </w:pPr>
    </w:p>
    <w:p w:rsidR="00000000" w:rsidRPr="000706DB" w:rsidP="000706DB">
      <w:pPr>
        <w:pStyle w:val="Heading1"/>
      </w:pPr>
      <w:bookmarkStart w:id="13" w:name="O_740538"/>
      <w:bookmarkEnd w:id="13"/>
      <w:r w:rsidRPr="000706DB">
        <w:t>Knowledg</w:t>
      </w:r>
      <w:r w:rsidRPr="000706DB">
        <w:t>e Evidence</w:t>
      </w:r>
    </w:p>
    <w:tbl>
      <w:tblPr>
        <w:tblW w:w="0" w:type="auto"/>
        <w:tblCellMar>
          <w:left w:w="62" w:type="dxa"/>
          <w:right w:w="62" w:type="dxa"/>
        </w:tblCellMar>
        <w:tblLook w:val="0000"/>
      </w:tblPr>
      <w:tblGrid>
        <w:gridCol w:w="9196"/>
      </w:tblGrid>
      <w:tr w:rsidTr="00525B44">
        <w:tblPrEx>
          <w:tblW w:w="0" w:type="auto"/>
          <w:tblCellMar>
            <w:left w:w="62" w:type="dxa"/>
            <w:right w:w="62" w:type="dxa"/>
          </w:tblCellMar>
          <w:tblLook w:val="0000"/>
        </w:tblPrEx>
        <w:trPr>
          <w:trHeight w:val="913"/>
        </w:trPr>
        <w:tc>
          <w:tcPr>
            <w:tcW w:w="0" w:type="auto"/>
            <w:tcBorders>
              <w:top w:val="nil"/>
              <w:left w:val="nil"/>
              <w:bottom w:val="nil"/>
              <w:right w:val="nil"/>
            </w:tcBorders>
            <w:tcMar>
              <w:top w:w="0" w:type="dxa"/>
              <w:left w:w="62" w:type="dxa"/>
              <w:bottom w:w="0" w:type="dxa"/>
              <w:right w:w="62" w:type="dxa"/>
            </w:tcMar>
          </w:tcPr>
          <w:p w:rsidR="00000000" w:rsidP="000706DB">
            <w:pPr>
              <w:pStyle w:val="BodyText"/>
              <w:rPr>
                <w:lang w:val="en-NZ"/>
              </w:rPr>
            </w:pPr>
            <w:r w:rsidRPr="000706DB">
              <w:t>Evidence required to demonstrate competence in this unit must be relevant to and satisfy all of the requirements of the elements and performance criteria and include knowledge of:</w:t>
            </w:r>
          </w:p>
        </w:tc>
      </w:tr>
      <w:tr w:rsidTr="00525B44">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0706DB" w:rsidP="000706DB">
            <w:pPr>
              <w:pStyle w:val="ListBullet2"/>
            </w:pPr>
            <w:r w:rsidRPr="000706DB">
              <w:t>equipment applications, capacities, configurations, safety hazards and control measures</w:t>
            </w:r>
          </w:p>
          <w:p w:rsidR="00000000" w:rsidRPr="000706DB" w:rsidP="000706DB">
            <w:pPr>
              <w:pStyle w:val="ListBullet2"/>
            </w:pPr>
            <w:r w:rsidRPr="000706DB">
              <w:t xml:space="preserve">housekeeping standards and procedures </w:t>
            </w:r>
          </w:p>
          <w:p w:rsidR="00000000" w:rsidRPr="000706DB" w:rsidP="000706DB">
            <w:pPr>
              <w:pStyle w:val="ListBullet2"/>
            </w:pPr>
            <w:r w:rsidRPr="000706DB">
              <w:t>permit and licence requirements</w:t>
            </w:r>
          </w:p>
          <w:p w:rsidR="00000000" w:rsidRPr="000706DB" w:rsidP="000706DB">
            <w:pPr>
              <w:pStyle w:val="ListBullet2"/>
            </w:pPr>
            <w:r w:rsidRPr="000706DB">
              <w:t xml:space="preserve">problems that may occur when storing or warehousing dangerous goods and hazardous substances and </w:t>
            </w:r>
            <w:r w:rsidRPr="000706DB">
              <w:t>action that can be taken to resolve these problems</w:t>
            </w:r>
          </w:p>
          <w:p w:rsidR="00000000" w:rsidRPr="000706DB" w:rsidP="000706DB">
            <w:pPr>
              <w:pStyle w:val="ListBullet2"/>
            </w:pPr>
            <w:r w:rsidRPr="000706DB">
              <w:t>relevant regulations and codes for storing dangerous goods and hazardous substances</w:t>
            </w:r>
          </w:p>
          <w:p w:rsidR="00000000" w:rsidRPr="000706DB" w:rsidP="000706DB">
            <w:pPr>
              <w:pStyle w:val="ListBullet2"/>
            </w:pPr>
            <w:r w:rsidRPr="000706DB">
              <w:t>risks for storing dangerous goods and hazardous substances and related precautions to control risk</w:t>
            </w:r>
          </w:p>
          <w:p w:rsidR="00000000" w:rsidRPr="000706DB" w:rsidP="000706DB">
            <w:pPr>
              <w:pStyle w:val="ListBullet2"/>
            </w:pPr>
            <w:r w:rsidRPr="000706DB">
              <w:t>workplace procedures f</w:t>
            </w:r>
            <w:r w:rsidRPr="000706DB">
              <w:t>or handling and storing dangerous goods and hazardous substances.</w:t>
            </w:r>
          </w:p>
        </w:tc>
      </w:tr>
    </w:tbl>
    <w:p w:rsidR="00000000" w:rsidRPr="000706DB" w:rsidP="000706DB">
      <w:pPr>
        <w:pStyle w:val="BodyText"/>
      </w:pPr>
    </w:p>
    <w:p w:rsidR="00000000" w:rsidRPr="000706DB" w:rsidP="000706DB">
      <w:pPr>
        <w:pStyle w:val="AllowPageBreak"/>
      </w:pPr>
    </w:p>
    <w:p w:rsidR="00000000" w:rsidRPr="000706DB" w:rsidP="000706DB">
      <w:pPr>
        <w:pStyle w:val="Heading1"/>
      </w:pPr>
      <w:bookmarkStart w:id="14" w:name="O_740539"/>
      <w:bookmarkEnd w:id="14"/>
      <w:r w:rsidRPr="000706DB">
        <w:t>Assessment Conditions</w:t>
      </w:r>
    </w:p>
    <w:p w:rsidR="00000000" w:rsidRPr="000706DB" w:rsidP="00525B44">
      <w:pPr>
        <w:pStyle w:val="BodyText"/>
      </w:pPr>
      <w:r w:rsidRPr="000706DB">
        <w:t xml:space="preserve">As a minimum, assessors must satisfy applicable regulatory requirements, which include requirements in the </w:t>
      </w:r>
      <w:r w:rsidRPr="000706DB">
        <w:rPr>
          <w:rStyle w:val="Emphasis"/>
        </w:rPr>
        <w:t>Standards for Registered Training Organisations</w:t>
      </w:r>
      <w:r w:rsidRPr="000706DB">
        <w:t xml:space="preserve"> current at the time of assessment. </w:t>
      </w:r>
    </w:p>
    <w:p w:rsidR="00000000" w:rsidRPr="000706DB" w:rsidP="00525B44">
      <w:pPr>
        <w:pStyle w:val="BodyText"/>
      </w:pPr>
      <w:r w:rsidRPr="000706DB">
        <w:t xml:space="preserve">As a minimum, assessment must satisfy applicable regulatory requirements, which include requirements in the </w:t>
      </w:r>
      <w:r w:rsidRPr="000706DB">
        <w:rPr>
          <w:rStyle w:val="Emphasis"/>
        </w:rPr>
        <w:t>Standards for Registered Training Organisations</w:t>
      </w:r>
      <w:r w:rsidRPr="000706DB">
        <w:t xml:space="preserve"> current at the t</w:t>
      </w:r>
      <w:r w:rsidRPr="000706DB">
        <w:t>ime of assessment.</w:t>
      </w:r>
    </w:p>
    <w:p w:rsidR="00000000" w:rsidRPr="000706DB" w:rsidP="00525B44">
      <w:pPr>
        <w:pStyle w:val="BodyText"/>
      </w:pPr>
      <w:r w:rsidRPr="000706DB">
        <w:t>Assessment must occur in workplace operational situations where it is appropriate to do so; where this is not appropriate, assessment must occur in simulated workplace operational situations that replicate workplace conditions.</w:t>
      </w:r>
    </w:p>
    <w:p w:rsidR="00000000" w:rsidRPr="000706DB" w:rsidP="00525B44">
      <w:pPr>
        <w:pStyle w:val="BodyText"/>
      </w:pPr>
      <w:r w:rsidRPr="000706DB">
        <w:t>Assessmen</w:t>
      </w:r>
      <w:r w:rsidRPr="000706DB">
        <w:t>t processes and techniques must be appropriate to the language, literacy and numeracy requirements of the work being performed and the needs of the candidate.</w:t>
      </w:r>
    </w:p>
    <w:p w:rsidR="00000000" w:rsidRPr="000706DB" w:rsidP="00525B44">
      <w:pPr>
        <w:pStyle w:val="BodyText"/>
      </w:pPr>
      <w:r w:rsidRPr="000706DB">
        <w:t>Resources for assessment include:</w:t>
      </w:r>
    </w:p>
    <w:p w:rsidR="00000000" w:rsidRPr="000706DB" w:rsidP="000706DB">
      <w:pPr>
        <w:pStyle w:val="ListBullet2"/>
      </w:pPr>
      <w:r w:rsidRPr="000706DB">
        <w:t>a range of relevant exercises, case studies and/or simulations</w:t>
      </w:r>
    </w:p>
    <w:p w:rsidR="00000000" w:rsidRPr="000706DB" w:rsidP="000706DB">
      <w:pPr>
        <w:pStyle w:val="ListBullet2"/>
      </w:pPr>
      <w:r w:rsidRPr="000706DB">
        <w:t xml:space="preserve">relevant and appropriate materials, tools, equipment and personal protective equipment currently used in industry </w:t>
      </w:r>
    </w:p>
    <w:p w:rsidR="00525B44" w:rsidP="000706DB">
      <w:pPr>
        <w:pStyle w:val="ListBullet2"/>
      </w:pPr>
      <w:r w:rsidRPr="000706DB">
        <w:t>applicable documentation including workplace procedures, regulations, codes of practice and operation manuals.</w:t>
      </w:r>
    </w:p>
    <w:p w:rsidR="00525B44" w:rsidP="000706DB">
      <w:pPr>
        <w:pStyle w:val="ListBullet2"/>
      </w:pPr>
    </w:p>
    <w:p w:rsidR="00000000" w:rsidRPr="000706DB" w:rsidP="000706DB">
      <w:pPr>
        <w:pStyle w:val="Heading1"/>
      </w:pPr>
      <w:bookmarkStart w:id="15" w:name="O_740542"/>
      <w:bookmarkEnd w:id="15"/>
      <w:r w:rsidRPr="000706DB">
        <w:t>Links</w:t>
      </w:r>
    </w:p>
    <w:p w:rsidR="00000000" w:rsidRPr="000706DB" w:rsidP="00525B44">
      <w:pPr>
        <w:pStyle w:val="BodyText"/>
      </w:pPr>
      <w:r w:rsidRPr="000706DB">
        <w:t>Compa</w:t>
      </w:r>
      <w:r w:rsidRPr="000706DB">
        <w:t xml:space="preserve">nion Volume implementation guides are found in VETNet - </w:t>
      </w:r>
      <w:r>
        <w:fldChar w:fldCharType="begin"/>
      </w:r>
      <w:r>
        <w:instrText xml:space="preserve"> HYPERLINK "https://vetnet.gov.au/Pages/TrainingDocs.aspx?q=df441c6e-213d-43e3-874c-0b3f7036d851" </w:instrText>
      </w:r>
      <w:r>
        <w:fldChar w:fldCharType="separate"/>
      </w:r>
      <w:r w:rsidRPr="00762DC5">
        <w:rPr>
          <w:rStyle w:val="Hyperlink"/>
        </w:rPr>
        <w:t>https://vetnet.gov.au/Pages/TrainingDocs.aspx?q=df441c6e-213d-43e3-874c-0b3f7036d851</w:t>
      </w:r>
      <w:r>
        <w:fldChar w:fldCharType="end"/>
      </w:r>
    </w:p>
    <w:p w:rsidR="00000000" w:rsidRPr="000706DB" w:rsidP="000706DB"/>
    <w:sectPr w:rsidSect="000706D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6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6DB" w:rsidRPr="00525B44" w:rsidP="00525B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6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B44" w:rsidP="000706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5B44" w:rsidP="000706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25B44" w:rsidP="000706D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6DB" w:rsidP="000706DB">
    <w:pPr>
      <w:pStyle w:val="Footer"/>
      <w:framePr w:wrap="around"/>
    </w:pPr>
    <w:r>
      <w:fldChar w:fldCharType="begin"/>
    </w:r>
    <w:r>
      <w:instrText xml:space="preserve"> DOCPROPERTY  Subject  \* MERGEFORMAT </w:instrText>
    </w:r>
    <w:r>
      <w:fldChar w:fldCharType="separate"/>
    </w:r>
    <w:r w:rsidR="00525B44">
      <w:t>Approved</w:t>
    </w:r>
    <w:r w:rsidR="00525B44">
      <w:fldChar w:fldCharType="end"/>
    </w:r>
    <w:r>
      <w:tab/>
      <w:t xml:space="preserve">Page </w:t>
    </w:r>
    <w:r>
      <w:fldChar w:fldCharType="begin"/>
    </w:r>
    <w:r>
      <w:instrText xml:space="preserve"> PAGE  \* Arabic  \* MERGEFORMAT </w:instrText>
    </w:r>
    <w:r>
      <w:fldChar w:fldCharType="separate"/>
    </w:r>
    <w:r w:rsidR="00525B4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25B44">
      <w:rPr>
        <w:noProof/>
      </w:rPr>
      <w:t>4</w:t>
    </w:r>
    <w:r>
      <w:rPr>
        <w:noProof/>
      </w:rPr>
      <w:fldChar w:fldCharType="end"/>
    </w:r>
  </w:p>
  <w:p w:rsidR="000706DB" w:rsidP="000706DB">
    <w:pPr>
      <w:pStyle w:val="Footer"/>
      <w:framePr w:wrap="around"/>
    </w:pPr>
    <w:r>
      <w:t xml:space="preserve">© Commonwealth of Australia, </w:t>
    </w:r>
    <w:r>
      <w:fldChar w:fldCharType="begin"/>
    </w:r>
    <w:r>
      <w:instrText xml:space="preserve"> DATE  \@ "yyyy"  \* MERGEFORMAT </w:instrText>
    </w:r>
    <w:r>
      <w:fldChar w:fldCharType="separate"/>
    </w:r>
    <w:r w:rsidR="00525B44">
      <w:rPr>
        <w:noProof/>
      </w:rPr>
      <w:t>2025</w:t>
    </w:r>
    <w:r>
      <w:fldChar w:fldCharType="end"/>
    </w:r>
    <w:r>
      <w:tab/>
    </w:r>
    <w:r>
      <w:fldChar w:fldCharType="begin"/>
    </w:r>
    <w:r>
      <w:instrText xml:space="preserve"> DOCPROPERTY  Author  \* MERGEFORMAT </w:instrText>
    </w:r>
    <w:r>
      <w:fldChar w:fldCharType="separate"/>
    </w:r>
    <w:r w:rsidR="00525B44">
      <w:t>Industry Skills Australia</w:t>
    </w:r>
    <w:r w:rsidR="00525B44">
      <w:fldChar w:fldCharType="end"/>
    </w:r>
  </w:p>
  <w:p w:rsidR="000706DB" w:rsidP="000706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6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B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06DB" w:rsidRPr="00525B44" w:rsidP="00525B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6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B44" w:rsidRPr="002D2AF8" w:rsidP="000706DB">
    <w:pPr>
      <w:pStyle w:val="Header"/>
      <w:framePr w:wrap="around"/>
    </w:pPr>
    <w:r>
      <w:fldChar w:fldCharType="begin"/>
    </w:r>
    <w:r>
      <w:instrText xml:space="preserve"> TITLE   \* MERGEFORMAT </w:instrText>
    </w:r>
    <w:r>
      <w:fldChar w:fldCharType="separate"/>
    </w:r>
    <w:r>
      <w:t>TLIF3022 Implement/monitor procedures when warehousing/storing dangerous goods/hazardous substances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25B44" w:rsidP="000706D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6DB" w:rsidRPr="002D2AF8" w:rsidP="000706DB">
    <w:pPr>
      <w:pStyle w:val="Header"/>
      <w:framePr w:wrap="around"/>
    </w:pPr>
    <w:r>
      <w:fldChar w:fldCharType="begin"/>
    </w:r>
    <w:r>
      <w:instrText xml:space="preserve"> TITLE   \* MERGEFORMAT </w:instrText>
    </w:r>
    <w:r>
      <w:fldChar w:fldCharType="separate"/>
    </w:r>
    <w:r w:rsidR="00525B44">
      <w:t>TLIF3022 Implement/monitor procedures when warehousing/storing dangerous goods/hazardous substances</w:t>
    </w:r>
    <w:r w:rsidR="00525B44">
      <w:fldChar w:fldCharType="end"/>
    </w:r>
    <w:r>
      <w:tab/>
      <w:t xml:space="preserve">Date this document was generated: </w:t>
    </w:r>
    <w:r>
      <w:fldChar w:fldCharType="begin"/>
    </w:r>
    <w:r>
      <w:instrText xml:space="preserve"> CREATEDATE  \@ "d MMMM yyyy"  \* MERGEFORMAT </w:instrText>
    </w:r>
    <w:r>
      <w:fldChar w:fldCharType="separate"/>
    </w:r>
    <w:r w:rsidR="00525B44">
      <w:rPr>
        <w:noProof/>
      </w:rPr>
      <w:t>2 March 2025</w:t>
    </w:r>
    <w:r>
      <w:fldChar w:fldCharType="end"/>
    </w:r>
  </w:p>
  <w:p w:rsidR="000706DB" w:rsidP="000706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403E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4A7E12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6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06DB"/>
    <w:pPr>
      <w:spacing w:before="360" w:after="60"/>
      <w:outlineLvl w:val="0"/>
    </w:pPr>
    <w:rPr>
      <w:sz w:val="32"/>
    </w:rPr>
  </w:style>
  <w:style w:type="paragraph" w:styleId="Heading2">
    <w:name w:val="heading 2"/>
    <w:basedOn w:val="HeadingBase"/>
    <w:next w:val="BodyText"/>
    <w:link w:val="Heading2Char"/>
    <w:qFormat/>
    <w:rsid w:val="000706DB"/>
    <w:pPr>
      <w:keepLines/>
      <w:spacing w:before="240" w:after="120"/>
      <w:outlineLvl w:val="1"/>
    </w:pPr>
    <w:rPr>
      <w:sz w:val="28"/>
      <w:szCs w:val="40"/>
    </w:rPr>
  </w:style>
  <w:style w:type="paragraph" w:styleId="Heading3">
    <w:name w:val="heading 3"/>
    <w:basedOn w:val="HeadingBase"/>
    <w:next w:val="BodyText"/>
    <w:link w:val="Heading3Char"/>
    <w:qFormat/>
    <w:rsid w:val="000706DB"/>
    <w:pPr>
      <w:spacing w:before="180" w:after="120"/>
      <w:outlineLvl w:val="2"/>
    </w:pPr>
    <w:rPr>
      <w:spacing w:val="-10"/>
      <w:kern w:val="32"/>
    </w:rPr>
  </w:style>
  <w:style w:type="paragraph" w:styleId="Heading4">
    <w:name w:val="heading 4"/>
    <w:basedOn w:val="HeadingBase"/>
    <w:next w:val="BodyText"/>
    <w:link w:val="Heading4Char"/>
    <w:qFormat/>
    <w:rsid w:val="000706DB"/>
    <w:pPr>
      <w:spacing w:before="160" w:after="120"/>
      <w:outlineLvl w:val="3"/>
    </w:pPr>
    <w:rPr>
      <w:sz w:val="22"/>
    </w:rPr>
  </w:style>
  <w:style w:type="paragraph" w:styleId="Heading5">
    <w:name w:val="heading 5"/>
    <w:basedOn w:val="HeadingBase"/>
    <w:next w:val="Normal"/>
    <w:link w:val="Heading5Char"/>
    <w:qFormat/>
    <w:rsid w:val="000706DB"/>
    <w:pPr>
      <w:spacing w:before="80"/>
      <w:outlineLvl w:val="4"/>
    </w:pPr>
    <w:rPr>
      <w:color w:val="918585"/>
      <w:sz w:val="20"/>
    </w:rPr>
  </w:style>
  <w:style w:type="paragraph" w:styleId="Heading6">
    <w:name w:val="heading 6"/>
    <w:basedOn w:val="HeadingBase"/>
    <w:next w:val="Normal"/>
    <w:link w:val="Heading6Char"/>
    <w:qFormat/>
    <w:rsid w:val="000706DB"/>
    <w:pPr>
      <w:spacing w:before="60"/>
      <w:outlineLvl w:val="5"/>
    </w:pPr>
    <w:rPr>
      <w:color w:val="918585"/>
      <w:sz w:val="20"/>
    </w:rPr>
  </w:style>
  <w:style w:type="paragraph" w:styleId="Heading7">
    <w:name w:val="heading 7"/>
    <w:basedOn w:val="Normal"/>
    <w:next w:val="Normal"/>
    <w:link w:val="Heading7Char"/>
    <w:qFormat/>
    <w:rsid w:val="000706DB"/>
    <w:pPr>
      <w:ind w:left="720"/>
      <w:outlineLvl w:val="6"/>
    </w:pPr>
    <w:rPr>
      <w:i/>
    </w:rPr>
  </w:style>
  <w:style w:type="paragraph" w:styleId="Heading8">
    <w:name w:val="heading 8"/>
    <w:basedOn w:val="Normal"/>
    <w:next w:val="Normal"/>
    <w:link w:val="Heading8Char"/>
    <w:qFormat/>
    <w:rsid w:val="000706DB"/>
    <w:pPr>
      <w:ind w:left="720"/>
      <w:outlineLvl w:val="7"/>
    </w:pPr>
    <w:rPr>
      <w:i/>
    </w:rPr>
  </w:style>
  <w:style w:type="paragraph" w:styleId="Heading9">
    <w:name w:val="heading 9"/>
    <w:basedOn w:val="Normal"/>
    <w:next w:val="Normal"/>
    <w:link w:val="Heading9Char"/>
    <w:qFormat/>
    <w:rsid w:val="000706DB"/>
    <w:pPr>
      <w:ind w:left="720"/>
      <w:outlineLvl w:val="8"/>
    </w:pPr>
    <w:rPr>
      <w:i/>
    </w:rPr>
  </w:style>
  <w:style w:type="character" w:default="1" w:styleId="DefaultParagraphFont">
    <w:name w:val="Default Paragraph Font"/>
    <w:uiPriority w:val="1"/>
    <w:unhideWhenUsed/>
    <w:rsid w:val="000706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06DB"/>
  </w:style>
  <w:style w:type="character" w:customStyle="1" w:styleId="Heading1Char">
    <w:name w:val="Heading 1 Char"/>
    <w:basedOn w:val="DefaultParagraphFont"/>
    <w:link w:val="Heading1"/>
    <w:rsid w:val="000706DB"/>
    <w:rPr>
      <w:rFonts w:ascii="Times New Roman" w:eastAsia="Times New Roman" w:hAnsi="Times New Roman" w:cs="Times New Roman"/>
      <w:b/>
      <w:sz w:val="32"/>
      <w:szCs w:val="20"/>
      <w:lang w:eastAsia="en-US"/>
    </w:rPr>
  </w:style>
  <w:style w:type="paragraph" w:styleId="BodyText">
    <w:name w:val="Body Text"/>
    <w:basedOn w:val="Normal"/>
    <w:link w:val="BodyTextChar"/>
    <w:rsid w:val="000706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06DB"/>
    <w:rPr>
      <w:rFonts w:ascii="Times New Roman" w:eastAsia="Times New Roman" w:hAnsi="Times New Roman" w:cs="Times New Roman"/>
      <w:sz w:val="24"/>
      <w:lang w:eastAsia="en-US"/>
    </w:rPr>
  </w:style>
  <w:style w:type="character" w:customStyle="1" w:styleId="SpecialBold">
    <w:name w:val="Special Bold"/>
    <w:basedOn w:val="DefaultParagraphFont"/>
    <w:rsid w:val="000706DB"/>
    <w:rPr>
      <w:b/>
      <w:spacing w:val="0"/>
    </w:rPr>
  </w:style>
  <w:style w:type="paragraph" w:styleId="ListBullet2">
    <w:name w:val="List Bullet 2"/>
    <w:basedOn w:val="List2"/>
    <w:rsid w:val="000706DB"/>
    <w:pPr>
      <w:numPr>
        <w:numId w:val="12"/>
      </w:numPr>
      <w:tabs>
        <w:tab w:val="clear" w:pos="680"/>
      </w:tabs>
    </w:pPr>
  </w:style>
  <w:style w:type="character" w:styleId="Emphasis">
    <w:name w:val="Emphasis"/>
    <w:basedOn w:val="DefaultParagraphFont"/>
    <w:qFormat/>
    <w:rsid w:val="000706DB"/>
    <w:rPr>
      <w:i/>
    </w:rPr>
  </w:style>
  <w:style w:type="paragraph" w:customStyle="1" w:styleId="SuperHeading">
    <w:name w:val="SuperHeading"/>
    <w:basedOn w:val="Normal"/>
    <w:rsid w:val="000706DB"/>
    <w:pPr>
      <w:spacing w:before="240" w:after="120"/>
      <w:outlineLvl w:val="0"/>
    </w:pPr>
    <w:rPr>
      <w:rFonts w:ascii="Times New Roman" w:hAnsi="Times New Roman"/>
      <w:b/>
      <w:sz w:val="32"/>
    </w:rPr>
  </w:style>
  <w:style w:type="paragraph" w:customStyle="1" w:styleId="AllowPageBreak">
    <w:name w:val="AllowPageBreak"/>
    <w:rsid w:val="000706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06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06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06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06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06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06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06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06DB"/>
    <w:rPr>
      <w:rFonts w:ascii="Courier New" w:eastAsia="Times New Roman" w:hAnsi="Courier New" w:cs="Times New Roman"/>
      <w:i/>
      <w:szCs w:val="20"/>
      <w:lang w:eastAsia="en-US"/>
    </w:rPr>
  </w:style>
  <w:style w:type="paragraph" w:customStyle="1" w:styleId="HeadingBase">
    <w:name w:val="Heading Base"/>
    <w:rsid w:val="000706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06DB"/>
    <w:pPr>
      <w:tabs>
        <w:tab w:val="right" w:leader="dot" w:pos="9072"/>
      </w:tabs>
      <w:ind w:left="567"/>
    </w:pPr>
    <w:rPr>
      <w:szCs w:val="22"/>
    </w:rPr>
  </w:style>
  <w:style w:type="paragraph" w:customStyle="1" w:styleId="TOCBase">
    <w:name w:val="TOC Base"/>
    <w:rsid w:val="000706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06DB"/>
    <w:pPr>
      <w:tabs>
        <w:tab w:val="right" w:leader="dot" w:pos="9072"/>
      </w:tabs>
      <w:spacing w:before="40" w:after="40"/>
      <w:ind w:left="284"/>
    </w:pPr>
    <w:rPr>
      <w:rFonts w:ascii="Times New Roman" w:hAnsi="Times New Roman"/>
    </w:rPr>
  </w:style>
  <w:style w:type="paragraph" w:styleId="TOC1">
    <w:name w:val="toc 1"/>
    <w:basedOn w:val="TOCBase"/>
    <w:next w:val="Normal"/>
    <w:rsid w:val="000706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06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06DB"/>
    <w:rPr>
      <w:rFonts w:ascii="Times New Roman" w:eastAsia="Times New Roman" w:hAnsi="Times New Roman" w:cs="Times New Roman"/>
      <w:sz w:val="16"/>
      <w:lang w:eastAsia="en-US"/>
    </w:rPr>
  </w:style>
  <w:style w:type="paragraph" w:styleId="Title">
    <w:name w:val="Title"/>
    <w:basedOn w:val="HeadingBase"/>
    <w:link w:val="TitleChar"/>
    <w:qFormat/>
    <w:rsid w:val="000706DB"/>
    <w:pPr>
      <w:spacing w:before="5040"/>
      <w:jc w:val="center"/>
    </w:pPr>
    <w:rPr>
      <w:sz w:val="48"/>
      <w:szCs w:val="72"/>
      <w:lang w:val="en-US"/>
    </w:rPr>
  </w:style>
  <w:style w:type="character" w:customStyle="1" w:styleId="TitleChar">
    <w:name w:val="Title Char"/>
    <w:basedOn w:val="DefaultParagraphFont"/>
    <w:link w:val="Title"/>
    <w:rsid w:val="000706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06DB"/>
    <w:pPr>
      <w:tabs>
        <w:tab w:val="left" w:pos="3600"/>
        <w:tab w:val="left" w:pos="3958"/>
      </w:tabs>
    </w:pPr>
  </w:style>
  <w:style w:type="paragraph" w:styleId="List">
    <w:name w:val="List"/>
    <w:basedOn w:val="BodyText"/>
    <w:next w:val="BodyText"/>
    <w:rsid w:val="000706DB"/>
    <w:pPr>
      <w:tabs>
        <w:tab w:val="left" w:pos="340"/>
      </w:tabs>
      <w:spacing w:before="60" w:after="60"/>
      <w:ind w:left="340" w:hanging="340"/>
    </w:pPr>
  </w:style>
  <w:style w:type="paragraph" w:styleId="ListBullet">
    <w:name w:val="List Bullet"/>
    <w:basedOn w:val="List"/>
    <w:rsid w:val="000706DB"/>
    <w:pPr>
      <w:numPr>
        <w:numId w:val="11"/>
      </w:numPr>
      <w:tabs>
        <w:tab w:val="clear" w:pos="340"/>
      </w:tabs>
      <w:spacing w:before="40" w:after="40"/>
    </w:pPr>
  </w:style>
  <w:style w:type="paragraph" w:customStyle="1" w:styleId="Note">
    <w:name w:val="Note"/>
    <w:basedOn w:val="BodyText"/>
    <w:rsid w:val="000706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06DB"/>
    <w:pPr>
      <w:framePr w:wrap="auto" w:hAnchor="text" w:y="6049"/>
    </w:pPr>
    <w:rPr>
      <w:color w:val="000000"/>
      <w:sz w:val="40"/>
    </w:rPr>
  </w:style>
  <w:style w:type="paragraph" w:customStyle="1" w:styleId="TOCTitle">
    <w:name w:val="TOCTitle"/>
    <w:basedOn w:val="Heading1"/>
    <w:rsid w:val="000706DB"/>
    <w:pPr>
      <w:spacing w:after="240"/>
      <w:jc w:val="center"/>
      <w:outlineLvl w:val="9"/>
    </w:pPr>
    <w:rPr>
      <w:caps/>
    </w:rPr>
  </w:style>
  <w:style w:type="paragraph" w:customStyle="1" w:styleId="Version">
    <w:name w:val="Version"/>
    <w:rsid w:val="000706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06DB"/>
    <w:pPr>
      <w:keepNext w:val="0"/>
      <w:tabs>
        <w:tab w:val="right" w:pos="4176"/>
      </w:tabs>
      <w:ind w:left="198" w:hanging="198"/>
    </w:pPr>
    <w:rPr>
      <w:rFonts w:ascii="Garamond" w:hAnsi="Garamond"/>
    </w:rPr>
  </w:style>
  <w:style w:type="paragraph" w:styleId="IndexHeading">
    <w:name w:val="index heading"/>
    <w:basedOn w:val="Normal"/>
    <w:next w:val="Index1"/>
    <w:semiHidden/>
    <w:rsid w:val="000706DB"/>
    <w:pPr>
      <w:spacing w:before="120" w:after="120"/>
    </w:pPr>
    <w:rPr>
      <w:rFonts w:ascii="Arial" w:hAnsi="Arial"/>
      <w:b/>
      <w:color w:val="918585"/>
      <w:sz w:val="24"/>
    </w:rPr>
  </w:style>
  <w:style w:type="paragraph" w:styleId="Header">
    <w:name w:val="header"/>
    <w:basedOn w:val="Normal"/>
    <w:link w:val="HeaderChar"/>
    <w:rsid w:val="000706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06DB"/>
    <w:rPr>
      <w:rFonts w:ascii="Times New Roman" w:eastAsia="Times New Roman" w:hAnsi="Times New Roman" w:cs="Times New Roman"/>
      <w:sz w:val="16"/>
      <w:szCs w:val="20"/>
      <w:lang w:val="en-GB" w:eastAsia="en-US"/>
    </w:rPr>
  </w:style>
  <w:style w:type="paragraph" w:customStyle="1" w:styleId="Chapter">
    <w:name w:val="Chapter"/>
    <w:basedOn w:val="Normal"/>
    <w:rsid w:val="000706DB"/>
    <w:pPr>
      <w:spacing w:before="240"/>
    </w:pPr>
    <w:rPr>
      <w:rFonts w:ascii="Times New Roman" w:hAnsi="Times New Roman"/>
      <w:smallCaps/>
      <w:spacing w:val="80"/>
      <w:sz w:val="28"/>
    </w:rPr>
  </w:style>
  <w:style w:type="paragraph" w:customStyle="1" w:styleId="InChapter">
    <w:name w:val="InChapter"/>
    <w:basedOn w:val="Heading3"/>
    <w:rsid w:val="000706DB"/>
    <w:pPr>
      <w:spacing w:after="240"/>
      <w:outlineLvl w:val="9"/>
    </w:pPr>
    <w:rPr>
      <w:noProof/>
    </w:rPr>
  </w:style>
  <w:style w:type="paragraph" w:styleId="Index2">
    <w:name w:val="index 2"/>
    <w:basedOn w:val="Normal"/>
    <w:next w:val="Normal"/>
    <w:semiHidden/>
    <w:rsid w:val="000706DB"/>
    <w:pPr>
      <w:tabs>
        <w:tab w:val="right" w:pos="4176"/>
      </w:tabs>
      <w:ind w:left="568" w:hanging="284"/>
    </w:pPr>
    <w:rPr>
      <w:rFonts w:ascii="Garamond" w:hAnsi="Garamond"/>
    </w:rPr>
  </w:style>
  <w:style w:type="paragraph" w:customStyle="1" w:styleId="Byline">
    <w:name w:val="Byline"/>
    <w:rsid w:val="000706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06DB"/>
    <w:pPr>
      <w:tabs>
        <w:tab w:val="clear" w:pos="3600"/>
        <w:tab w:val="clear" w:pos="3958"/>
      </w:tabs>
      <w:jc w:val="right"/>
    </w:pPr>
  </w:style>
  <w:style w:type="paragraph" w:styleId="Caption">
    <w:name w:val="caption"/>
    <w:basedOn w:val="BodyText"/>
    <w:next w:val="Normal"/>
    <w:qFormat/>
    <w:rsid w:val="000706DB"/>
    <w:pPr>
      <w:framePr w:w="2268" w:hSpace="181" w:vSpace="181" w:wrap="around" w:vAnchor="text" w:hAnchor="page" w:x="1135" w:y="285" w:anchorLock="1"/>
    </w:pPr>
    <w:rPr>
      <w:i/>
    </w:rPr>
  </w:style>
  <w:style w:type="paragraph" w:customStyle="1" w:styleId="MiniTOCTitle">
    <w:name w:val="MiniTOCTitle"/>
    <w:basedOn w:val="Heading4"/>
    <w:rsid w:val="000706DB"/>
    <w:pPr>
      <w:spacing w:before="240"/>
      <w:outlineLvl w:val="9"/>
    </w:pPr>
    <w:rPr>
      <w:noProof/>
      <w:sz w:val="24"/>
    </w:rPr>
  </w:style>
  <w:style w:type="paragraph" w:customStyle="1" w:styleId="MiniTOCItem">
    <w:name w:val="MiniTOCItem"/>
    <w:basedOn w:val="ListBullet"/>
    <w:rsid w:val="000706DB"/>
    <w:pPr>
      <w:numPr>
        <w:numId w:val="0"/>
      </w:numPr>
      <w:tabs>
        <w:tab w:val="right" w:leader="dot" w:pos="6521"/>
      </w:tabs>
      <w:spacing w:before="0" w:after="0"/>
    </w:pPr>
  </w:style>
  <w:style w:type="paragraph" w:customStyle="1" w:styleId="TOFTitle">
    <w:name w:val="TOFTitle"/>
    <w:basedOn w:val="TOCTitle"/>
    <w:rsid w:val="000706DB"/>
  </w:style>
  <w:style w:type="paragraph" w:styleId="TableofFigures">
    <w:name w:val="table of figures"/>
    <w:basedOn w:val="Normal"/>
    <w:next w:val="Normal"/>
    <w:semiHidden/>
    <w:rsid w:val="000706DB"/>
    <w:pPr>
      <w:tabs>
        <w:tab w:val="right" w:leader="dot" w:pos="9072"/>
      </w:tabs>
      <w:ind w:left="970" w:hanging="403"/>
    </w:pPr>
    <w:rPr>
      <w:rFonts w:ascii="Times New Roman" w:hAnsi="Times New Roman"/>
      <w:b/>
    </w:rPr>
  </w:style>
  <w:style w:type="paragraph" w:styleId="ListNumber">
    <w:name w:val="List Number"/>
    <w:basedOn w:val="List"/>
    <w:rsid w:val="000706DB"/>
    <w:pPr>
      <w:numPr>
        <w:numId w:val="14"/>
      </w:numPr>
      <w:tabs>
        <w:tab w:val="clear" w:pos="340"/>
      </w:tabs>
    </w:pPr>
  </w:style>
  <w:style w:type="character" w:customStyle="1" w:styleId="WingdingSymbols">
    <w:name w:val="Wingding Symbols"/>
    <w:rsid w:val="000706DB"/>
    <w:rPr>
      <w:rFonts w:ascii="Wingdings" w:hAnsi="Wingdings"/>
    </w:rPr>
  </w:style>
  <w:style w:type="paragraph" w:customStyle="1" w:styleId="TableHeading">
    <w:name w:val="Table Heading"/>
    <w:basedOn w:val="HeadingBase"/>
    <w:rsid w:val="000706DB"/>
    <w:pPr>
      <w:keepLines/>
      <w:pBdr>
        <w:bottom w:val="single" w:sz="6" w:space="1" w:color="918585"/>
      </w:pBdr>
      <w:spacing w:before="240"/>
    </w:pPr>
  </w:style>
  <w:style w:type="character" w:customStyle="1" w:styleId="HotSpot">
    <w:name w:val="HotSpot"/>
    <w:rsid w:val="000706DB"/>
    <w:rPr>
      <w:color w:val="0033CC"/>
      <w:u w:val="none"/>
    </w:rPr>
  </w:style>
  <w:style w:type="paragraph" w:customStyle="1" w:styleId="BodyTextRight">
    <w:name w:val="Body Text Right"/>
    <w:basedOn w:val="BodyText"/>
    <w:rsid w:val="000706DB"/>
    <w:pPr>
      <w:spacing w:before="0" w:after="0"/>
      <w:jc w:val="right"/>
    </w:pPr>
  </w:style>
  <w:style w:type="paragraph" w:styleId="Index3">
    <w:name w:val="index 3"/>
    <w:basedOn w:val="ListNumber2"/>
    <w:next w:val="Normal"/>
    <w:semiHidden/>
    <w:rsid w:val="000706DB"/>
    <w:pPr>
      <w:numPr>
        <w:numId w:val="0"/>
      </w:numPr>
      <w:tabs>
        <w:tab w:val="right" w:leader="dot" w:pos="4176"/>
      </w:tabs>
    </w:pPr>
  </w:style>
  <w:style w:type="paragraph" w:styleId="ListNumber2">
    <w:name w:val="List Number 2"/>
    <w:basedOn w:val="List2"/>
    <w:rsid w:val="000706DB"/>
    <w:pPr>
      <w:numPr>
        <w:numId w:val="9"/>
      </w:numPr>
      <w:tabs>
        <w:tab w:val="clear" w:pos="1060"/>
      </w:tabs>
    </w:pPr>
  </w:style>
  <w:style w:type="paragraph" w:customStyle="1" w:styleId="MarginNote">
    <w:name w:val="Margin Note"/>
    <w:basedOn w:val="BodyText"/>
    <w:rsid w:val="000706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06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06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06DB"/>
    <w:rPr>
      <w:sz w:val="32"/>
    </w:rPr>
  </w:style>
  <w:style w:type="paragraph" w:customStyle="1" w:styleId="HeadingProcedure">
    <w:name w:val="Heading Procedure"/>
    <w:basedOn w:val="HeadingBase"/>
    <w:next w:val="Normal"/>
    <w:rsid w:val="000706DB"/>
    <w:pPr>
      <w:tabs>
        <w:tab w:val="left" w:pos="0"/>
      </w:tabs>
      <w:spacing w:before="120" w:after="60"/>
    </w:pPr>
    <w:rPr>
      <w:i/>
      <w:color w:val="918585"/>
      <w:sz w:val="22"/>
    </w:rPr>
  </w:style>
  <w:style w:type="paragraph" w:customStyle="1" w:styleId="TableBodyText">
    <w:name w:val="Table Body Text"/>
    <w:basedOn w:val="BodyText"/>
    <w:rsid w:val="000706DB"/>
    <w:pPr>
      <w:spacing w:before="60" w:after="60"/>
    </w:pPr>
  </w:style>
  <w:style w:type="paragraph" w:styleId="ListContinue">
    <w:name w:val="List Continue"/>
    <w:basedOn w:val="List"/>
    <w:rsid w:val="000706DB"/>
    <w:pPr>
      <w:ind w:firstLine="0"/>
    </w:pPr>
  </w:style>
  <w:style w:type="paragraph" w:customStyle="1" w:styleId="ListNote">
    <w:name w:val="List Note"/>
    <w:basedOn w:val="List"/>
    <w:rsid w:val="000706DB"/>
    <w:pPr>
      <w:pBdr>
        <w:top w:val="single" w:sz="6" w:space="2" w:color="918585"/>
        <w:bottom w:val="single" w:sz="6" w:space="2" w:color="918585"/>
      </w:pBdr>
      <w:tabs>
        <w:tab w:val="left" w:pos="1021"/>
      </w:tabs>
      <w:ind w:firstLine="0"/>
    </w:pPr>
  </w:style>
  <w:style w:type="paragraph" w:customStyle="1" w:styleId="Warning">
    <w:name w:val="Warning"/>
    <w:basedOn w:val="BodyText"/>
    <w:rsid w:val="000706DB"/>
    <w:pPr>
      <w:shd w:val="clear" w:color="auto" w:fill="D9D9D9"/>
      <w:tabs>
        <w:tab w:val="left" w:pos="992"/>
      </w:tabs>
      <w:ind w:left="119" w:right="119"/>
    </w:pPr>
    <w:rPr>
      <w:sz w:val="20"/>
    </w:rPr>
  </w:style>
  <w:style w:type="paragraph" w:customStyle="1" w:styleId="MarginIcons">
    <w:name w:val="Margin Icons"/>
    <w:basedOn w:val="BodyText"/>
    <w:rsid w:val="000706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06DB"/>
    <w:rPr>
      <w:rFonts w:ascii="Courier New" w:hAnsi="Courier New"/>
    </w:rPr>
  </w:style>
  <w:style w:type="paragraph" w:customStyle="1" w:styleId="NoteBullet">
    <w:name w:val="Note Bullet"/>
    <w:basedOn w:val="Note"/>
    <w:rsid w:val="000706DB"/>
    <w:pPr>
      <w:tabs>
        <w:tab w:val="clear" w:pos="680"/>
      </w:tabs>
      <w:spacing w:before="60" w:after="60"/>
    </w:pPr>
  </w:style>
  <w:style w:type="paragraph" w:customStyle="1" w:styleId="SubHeading2">
    <w:name w:val="SubHeading2"/>
    <w:basedOn w:val="HeadingBase"/>
    <w:rsid w:val="000706DB"/>
    <w:pPr>
      <w:spacing w:before="240" w:after="60"/>
    </w:pPr>
    <w:rPr>
      <w:sz w:val="20"/>
    </w:rPr>
  </w:style>
  <w:style w:type="paragraph" w:customStyle="1" w:styleId="SubHeading1">
    <w:name w:val="SubHeading1"/>
    <w:basedOn w:val="HeadingBase"/>
    <w:rsid w:val="000706DB"/>
    <w:pPr>
      <w:spacing w:before="240" w:after="60"/>
    </w:pPr>
    <w:rPr>
      <w:color w:val="918585"/>
      <w:sz w:val="22"/>
    </w:rPr>
  </w:style>
  <w:style w:type="paragraph" w:customStyle="1" w:styleId="SideHeading">
    <w:name w:val="Side Heading"/>
    <w:basedOn w:val="HeadingBase"/>
    <w:rsid w:val="000706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06DB"/>
    <w:pPr>
      <w:numPr>
        <w:numId w:val="10"/>
      </w:numPr>
    </w:pPr>
  </w:style>
  <w:style w:type="paragraph" w:styleId="PlainText">
    <w:name w:val="Plain Text"/>
    <w:basedOn w:val="Normal"/>
    <w:link w:val="PlainTextChar"/>
    <w:rsid w:val="000706DB"/>
    <w:rPr>
      <w:sz w:val="20"/>
    </w:rPr>
  </w:style>
  <w:style w:type="character" w:customStyle="1" w:styleId="PlainTextChar">
    <w:name w:val="Plain Text Char"/>
    <w:basedOn w:val="DefaultParagraphFont"/>
    <w:link w:val="PlainText"/>
    <w:rsid w:val="000706DB"/>
    <w:rPr>
      <w:rFonts w:ascii="Courier New" w:eastAsia="Times New Roman" w:hAnsi="Courier New" w:cs="Times New Roman"/>
      <w:sz w:val="20"/>
      <w:szCs w:val="20"/>
      <w:lang w:eastAsia="en-US"/>
    </w:rPr>
  </w:style>
  <w:style w:type="character" w:customStyle="1" w:styleId="MenuOption">
    <w:name w:val="Menu Option"/>
    <w:basedOn w:val="DefaultParagraphFont"/>
    <w:rsid w:val="000706DB"/>
    <w:rPr>
      <w:b/>
      <w:smallCaps/>
    </w:rPr>
  </w:style>
  <w:style w:type="paragraph" w:customStyle="1" w:styleId="TableListNumber">
    <w:name w:val="Table List Number"/>
    <w:basedOn w:val="ListNumber"/>
    <w:rsid w:val="000706DB"/>
    <w:pPr>
      <w:numPr>
        <w:numId w:val="0"/>
      </w:numPr>
    </w:pPr>
  </w:style>
  <w:style w:type="paragraph" w:styleId="TOC4">
    <w:name w:val="toc 4"/>
    <w:basedOn w:val="TOCBase"/>
    <w:next w:val="Normal"/>
    <w:semiHidden/>
    <w:rsid w:val="000706DB"/>
    <w:pPr>
      <w:tabs>
        <w:tab w:val="right" w:leader="dot" w:pos="9071"/>
      </w:tabs>
      <w:ind w:left="1701"/>
    </w:pPr>
  </w:style>
  <w:style w:type="paragraph" w:customStyle="1" w:styleId="ListAlpha">
    <w:name w:val="List Alpha"/>
    <w:basedOn w:val="List"/>
    <w:rsid w:val="000706DB"/>
    <w:pPr>
      <w:numPr>
        <w:numId w:val="8"/>
      </w:numPr>
    </w:pPr>
  </w:style>
  <w:style w:type="paragraph" w:customStyle="1" w:styleId="ListAlpha2">
    <w:name w:val="List Alpha 2"/>
    <w:basedOn w:val="List2"/>
    <w:rsid w:val="000706DB"/>
    <w:pPr>
      <w:numPr>
        <w:numId w:val="7"/>
      </w:numPr>
    </w:pPr>
  </w:style>
  <w:style w:type="paragraph" w:styleId="List2">
    <w:name w:val="List 2"/>
    <w:basedOn w:val="BodyText"/>
    <w:rsid w:val="000706DB"/>
    <w:pPr>
      <w:tabs>
        <w:tab w:val="left" w:pos="680"/>
      </w:tabs>
      <w:spacing w:before="60" w:after="60"/>
      <w:ind w:left="680" w:hanging="340"/>
    </w:pPr>
  </w:style>
  <w:style w:type="paragraph" w:styleId="List3">
    <w:name w:val="List 3"/>
    <w:basedOn w:val="BodyText"/>
    <w:rsid w:val="000706DB"/>
    <w:pPr>
      <w:tabs>
        <w:tab w:val="left" w:pos="1021"/>
      </w:tabs>
      <w:spacing w:before="60" w:after="60"/>
      <w:ind w:left="1020" w:hanging="340"/>
    </w:pPr>
  </w:style>
  <w:style w:type="paragraph" w:styleId="List4">
    <w:name w:val="List 4"/>
    <w:basedOn w:val="BodyText"/>
    <w:rsid w:val="000706DB"/>
    <w:pPr>
      <w:tabs>
        <w:tab w:val="left" w:pos="1361"/>
      </w:tabs>
      <w:spacing w:before="60" w:after="60"/>
      <w:ind w:left="1361" w:hanging="340"/>
    </w:pPr>
  </w:style>
  <w:style w:type="paragraph" w:styleId="List5">
    <w:name w:val="List 5"/>
    <w:basedOn w:val="BodyText"/>
    <w:rsid w:val="000706DB"/>
    <w:pPr>
      <w:tabs>
        <w:tab w:val="left" w:pos="1701"/>
      </w:tabs>
      <w:spacing w:before="60" w:after="60"/>
      <w:ind w:left="1701" w:hanging="340"/>
    </w:pPr>
  </w:style>
  <w:style w:type="paragraph" w:styleId="ListBullet3">
    <w:name w:val="List Bullet 3"/>
    <w:basedOn w:val="List3"/>
    <w:rsid w:val="000706DB"/>
    <w:pPr>
      <w:numPr>
        <w:numId w:val="13"/>
      </w:numPr>
      <w:tabs>
        <w:tab w:val="clear" w:pos="1021"/>
      </w:tabs>
      <w:ind w:left="1037" w:hanging="357"/>
    </w:pPr>
  </w:style>
  <w:style w:type="paragraph" w:styleId="ListBullet4">
    <w:name w:val="List Bullet 4"/>
    <w:basedOn w:val="List4"/>
    <w:rsid w:val="000706DB"/>
    <w:pPr>
      <w:numPr>
        <w:numId w:val="2"/>
      </w:numPr>
      <w:tabs>
        <w:tab w:val="clear" w:pos="1361"/>
      </w:tabs>
    </w:pPr>
  </w:style>
  <w:style w:type="paragraph" w:styleId="ListBullet5">
    <w:name w:val="List Bullet 5"/>
    <w:basedOn w:val="List5"/>
    <w:rsid w:val="000706DB"/>
    <w:pPr>
      <w:numPr>
        <w:numId w:val="3"/>
      </w:numPr>
    </w:pPr>
  </w:style>
  <w:style w:type="paragraph" w:styleId="ListContinue2">
    <w:name w:val="List Continue 2"/>
    <w:basedOn w:val="List2"/>
    <w:rsid w:val="000706DB"/>
    <w:pPr>
      <w:ind w:firstLine="0"/>
    </w:pPr>
  </w:style>
  <w:style w:type="paragraph" w:styleId="ListContinue3">
    <w:name w:val="List Continue 3"/>
    <w:basedOn w:val="List3"/>
    <w:rsid w:val="000706DB"/>
    <w:pPr>
      <w:ind w:left="1021" w:firstLine="0"/>
    </w:pPr>
  </w:style>
  <w:style w:type="paragraph" w:styleId="ListContinue4">
    <w:name w:val="List Continue 4"/>
    <w:basedOn w:val="List4"/>
    <w:rsid w:val="000706DB"/>
    <w:pPr>
      <w:ind w:firstLine="0"/>
    </w:pPr>
  </w:style>
  <w:style w:type="paragraph" w:styleId="ListContinue5">
    <w:name w:val="List Continue 5"/>
    <w:basedOn w:val="List5"/>
    <w:rsid w:val="000706DB"/>
    <w:pPr>
      <w:ind w:firstLine="0"/>
    </w:pPr>
  </w:style>
  <w:style w:type="paragraph" w:styleId="ListNumber3">
    <w:name w:val="List Number 3"/>
    <w:basedOn w:val="List3"/>
    <w:rsid w:val="000706DB"/>
    <w:pPr>
      <w:numPr>
        <w:numId w:val="4"/>
      </w:numPr>
    </w:pPr>
  </w:style>
  <w:style w:type="paragraph" w:styleId="ListNumber4">
    <w:name w:val="List Number 4"/>
    <w:basedOn w:val="List4"/>
    <w:rsid w:val="000706DB"/>
    <w:pPr>
      <w:numPr>
        <w:numId w:val="5"/>
      </w:numPr>
    </w:pPr>
  </w:style>
  <w:style w:type="paragraph" w:styleId="ListNumber5">
    <w:name w:val="List Number 5"/>
    <w:basedOn w:val="List5"/>
    <w:rsid w:val="000706DB"/>
    <w:pPr>
      <w:numPr>
        <w:numId w:val="6"/>
      </w:numPr>
    </w:pPr>
  </w:style>
  <w:style w:type="paragraph" w:styleId="BlockText">
    <w:name w:val="Block Text"/>
    <w:basedOn w:val="Normal"/>
    <w:rsid w:val="000706DB"/>
    <w:pPr>
      <w:spacing w:after="120"/>
      <w:ind w:left="1440" w:right="1440"/>
    </w:pPr>
  </w:style>
  <w:style w:type="character" w:customStyle="1" w:styleId="Subscript">
    <w:name w:val="Subscript"/>
    <w:basedOn w:val="DefaultParagraphFont"/>
    <w:rsid w:val="000706DB"/>
    <w:rPr>
      <w:sz w:val="16"/>
      <w:vertAlign w:val="subscript"/>
    </w:rPr>
  </w:style>
  <w:style w:type="character" w:customStyle="1" w:styleId="Superscript">
    <w:name w:val="Superscript"/>
    <w:basedOn w:val="DefaultParagraphFont"/>
    <w:rsid w:val="000706DB"/>
    <w:rPr>
      <w:sz w:val="16"/>
      <w:vertAlign w:val="superscript"/>
    </w:rPr>
  </w:style>
  <w:style w:type="character" w:customStyle="1" w:styleId="Symbols">
    <w:name w:val="Symbols"/>
    <w:basedOn w:val="DefaultParagraphFont"/>
    <w:rsid w:val="000706DB"/>
    <w:rPr>
      <w:rFonts w:ascii="Symbol" w:hAnsi="Symbol"/>
    </w:rPr>
  </w:style>
  <w:style w:type="character" w:customStyle="1" w:styleId="MenuOptions">
    <w:name w:val="Menu Options"/>
    <w:basedOn w:val="DefaultParagraphFont"/>
    <w:rsid w:val="000706DB"/>
    <w:rPr>
      <w:rFonts w:ascii="Arial Narrow" w:hAnsi="Arial Narrow"/>
      <w:smallCaps/>
    </w:rPr>
  </w:style>
  <w:style w:type="character" w:customStyle="1" w:styleId="Buttons">
    <w:name w:val="Buttons"/>
    <w:basedOn w:val="DefaultParagraphFont"/>
    <w:rsid w:val="000706DB"/>
    <w:rPr>
      <w:b/>
    </w:rPr>
  </w:style>
  <w:style w:type="character" w:customStyle="1" w:styleId="Underlined">
    <w:name w:val="Underlined"/>
    <w:basedOn w:val="DefaultParagraphFont"/>
    <w:rsid w:val="000706DB"/>
    <w:rPr>
      <w:u w:val="single"/>
    </w:rPr>
  </w:style>
  <w:style w:type="paragraph" w:customStyle="1" w:styleId="TableBodyTextRight">
    <w:name w:val="Table Body Text Right"/>
    <w:basedOn w:val="TableBodyText"/>
    <w:rsid w:val="000706DB"/>
    <w:pPr>
      <w:widowControl w:val="0"/>
      <w:autoSpaceDE w:val="0"/>
      <w:autoSpaceDN w:val="0"/>
      <w:adjustRightInd w:val="0"/>
      <w:jc w:val="right"/>
    </w:pPr>
    <w:rPr>
      <w:rFonts w:cs="Arial"/>
      <w:szCs w:val="18"/>
    </w:rPr>
  </w:style>
  <w:style w:type="paragraph" w:customStyle="1" w:styleId="CopyrightText">
    <w:name w:val="Copyright Text"/>
    <w:basedOn w:val="BodyText"/>
    <w:rsid w:val="000706DB"/>
    <w:rPr>
      <w:sz w:val="18"/>
    </w:rPr>
  </w:style>
  <w:style w:type="paragraph" w:customStyle="1" w:styleId="BodySmallRight">
    <w:name w:val="Body Small Right"/>
    <w:basedOn w:val="BodyTextRight"/>
    <w:rsid w:val="000706DB"/>
    <w:rPr>
      <w:sz w:val="18"/>
      <w:szCs w:val="18"/>
    </w:rPr>
  </w:style>
  <w:style w:type="paragraph" w:customStyle="1" w:styleId="MarginEdition">
    <w:name w:val="Margin Edition"/>
    <w:basedOn w:val="MarginNote"/>
    <w:rsid w:val="000706DB"/>
    <w:pPr>
      <w:spacing w:before="0" w:after="0"/>
    </w:pPr>
    <w:rPr>
      <w:rFonts w:ascii="Times New Roman" w:hAnsi="Times New Roman"/>
      <w:color w:val="999999"/>
    </w:rPr>
  </w:style>
  <w:style w:type="paragraph" w:customStyle="1" w:styleId="Spacer">
    <w:name w:val="Spacer"/>
    <w:basedOn w:val="Normal"/>
    <w:rsid w:val="000706DB"/>
    <w:rPr>
      <w:sz w:val="2"/>
      <w:szCs w:val="2"/>
    </w:rPr>
  </w:style>
  <w:style w:type="character" w:customStyle="1" w:styleId="Small">
    <w:name w:val="Small"/>
    <w:basedOn w:val="DefaultParagraphFont"/>
    <w:rsid w:val="000706DB"/>
    <w:rPr>
      <w:sz w:val="16"/>
    </w:rPr>
  </w:style>
  <w:style w:type="paragraph" w:customStyle="1" w:styleId="WideTable">
    <w:name w:val="Wide Table"/>
    <w:basedOn w:val="Normal"/>
    <w:rsid w:val="000706DB"/>
    <w:pPr>
      <w:ind w:left="-1418"/>
    </w:pPr>
    <w:rPr>
      <w:sz w:val="2"/>
      <w:szCs w:val="2"/>
    </w:rPr>
  </w:style>
  <w:style w:type="character" w:styleId="PageNumber">
    <w:name w:val="page number"/>
    <w:basedOn w:val="DefaultParagraphFont"/>
    <w:rsid w:val="000706DB"/>
  </w:style>
  <w:style w:type="paragraph" w:styleId="Quote">
    <w:name w:val="Quote"/>
    <w:basedOn w:val="Heading1"/>
    <w:link w:val="QuoteChar"/>
    <w:qFormat/>
    <w:rsid w:val="000706DB"/>
    <w:rPr>
      <w:b w:val="0"/>
      <w:sz w:val="72"/>
      <w:szCs w:val="72"/>
      <w:lang w:val="en-NZ"/>
    </w:rPr>
  </w:style>
  <w:style w:type="character" w:customStyle="1" w:styleId="QuoteChar">
    <w:name w:val="Quote Char"/>
    <w:basedOn w:val="DefaultParagraphFont"/>
    <w:link w:val="Quote"/>
    <w:rsid w:val="000706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06DB"/>
    <w:pPr>
      <w:pageBreakBefore/>
    </w:pPr>
  </w:style>
  <w:style w:type="paragraph" w:customStyle="1" w:styleId="Border">
    <w:name w:val="Border"/>
    <w:basedOn w:val="Normal"/>
    <w:qFormat/>
    <w:rsid w:val="000706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06DB"/>
    <w:rPr>
      <w:b/>
      <w:bCs/>
      <w:i/>
      <w:iCs/>
      <w:color w:val="auto"/>
    </w:rPr>
  </w:style>
  <w:style w:type="paragraph" w:styleId="IntenseQuote">
    <w:name w:val="Intense Quote"/>
    <w:basedOn w:val="Normal"/>
    <w:next w:val="Normal"/>
    <w:link w:val="IntenseQuoteChar"/>
    <w:uiPriority w:val="30"/>
    <w:qFormat/>
    <w:rsid w:val="000706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06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06DB"/>
    <w:rPr>
      <w:smallCaps/>
      <w:color w:val="auto"/>
      <w:u w:val="single"/>
    </w:rPr>
  </w:style>
  <w:style w:type="character" w:styleId="IntenseReference">
    <w:name w:val="Intense Reference"/>
    <w:basedOn w:val="DefaultParagraphFont"/>
    <w:uiPriority w:val="32"/>
    <w:qFormat/>
    <w:rsid w:val="000706DB"/>
    <w:rPr>
      <w:b/>
      <w:bCs/>
      <w:smallCaps/>
      <w:color w:val="auto"/>
      <w:spacing w:val="5"/>
      <w:u w:val="single"/>
    </w:rPr>
  </w:style>
  <w:style w:type="paragraph" w:customStyle="1" w:styleId="2ColumnHeading">
    <w:name w:val="2Column Heading"/>
    <w:basedOn w:val="BodyText"/>
    <w:qFormat/>
    <w:rsid w:val="000706DB"/>
    <w:pPr>
      <w:spacing w:after="60"/>
      <w:ind w:left="-2268"/>
    </w:pPr>
    <w:rPr>
      <w:b/>
    </w:rPr>
  </w:style>
  <w:style w:type="paragraph" w:customStyle="1" w:styleId="Heading1TOC">
    <w:name w:val="Heading1 TOC"/>
    <w:basedOn w:val="Normal"/>
    <w:qFormat/>
    <w:rsid w:val="000706DB"/>
    <w:pPr>
      <w:spacing w:before="240" w:after="120"/>
    </w:pPr>
    <w:rPr>
      <w:rFonts w:ascii="Times New Roman" w:hAnsi="Times New Roman"/>
      <w:b/>
      <w:sz w:val="32"/>
    </w:rPr>
  </w:style>
  <w:style w:type="paragraph" w:customStyle="1" w:styleId="Heading2TOC">
    <w:name w:val="Heading2 TOC"/>
    <w:basedOn w:val="Normal"/>
    <w:qFormat/>
    <w:rsid w:val="000706DB"/>
    <w:pPr>
      <w:spacing w:before="240" w:after="60"/>
    </w:pPr>
    <w:rPr>
      <w:rFonts w:ascii="Times New Roman" w:hAnsi="Times New Roman"/>
      <w:b/>
      <w:sz w:val="28"/>
    </w:rPr>
  </w:style>
  <w:style w:type="character" w:customStyle="1" w:styleId="Underline">
    <w:name w:val="Underline"/>
    <w:basedOn w:val="DefaultParagraphFont"/>
    <w:qFormat/>
    <w:rsid w:val="000706DB"/>
    <w:rPr>
      <w:u w:val="single"/>
    </w:rPr>
  </w:style>
  <w:style w:type="character" w:customStyle="1" w:styleId="BoldandItalics">
    <w:name w:val="Bold and Italics"/>
    <w:qFormat/>
    <w:rsid w:val="000706DB"/>
    <w:rPr>
      <w:b/>
      <w:i/>
      <w:u w:val="none"/>
    </w:rPr>
  </w:style>
  <w:style w:type="paragraph" w:styleId="BalloonText">
    <w:name w:val="Balloon Text"/>
    <w:basedOn w:val="Normal"/>
    <w:link w:val="BalloonTextChar"/>
    <w:rsid w:val="000706DB"/>
    <w:rPr>
      <w:rFonts w:ascii="Tahoma" w:hAnsi="Tahoma" w:cs="Tahoma"/>
      <w:sz w:val="16"/>
      <w:szCs w:val="16"/>
    </w:rPr>
  </w:style>
  <w:style w:type="character" w:customStyle="1" w:styleId="BalloonTextChar">
    <w:name w:val="Balloon Text Char"/>
    <w:basedOn w:val="DefaultParagraphFont"/>
    <w:link w:val="BalloonText"/>
    <w:rsid w:val="000706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06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06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06DB"/>
    <w:rPr>
      <w:b/>
      <w:color w:val="660033"/>
      <w:spacing w:val="0"/>
    </w:rPr>
  </w:style>
  <w:style w:type="paragraph" w:customStyle="1" w:styleId="Nameditemlist">
    <w:name w:val="Named item list"/>
    <w:basedOn w:val="BodyText"/>
    <w:qFormat/>
    <w:rsid w:val="000706DB"/>
    <w:pPr>
      <w:tabs>
        <w:tab w:val="left" w:pos="2835"/>
      </w:tabs>
      <w:ind w:left="2835" w:hanging="2835"/>
    </w:pPr>
  </w:style>
  <w:style w:type="paragraph" w:customStyle="1" w:styleId="BodyTextnopadding">
    <w:name w:val="Body Text no padding"/>
    <w:basedOn w:val="BodyText"/>
    <w:qFormat/>
    <w:rsid w:val="000706DB"/>
    <w:pPr>
      <w:spacing w:before="0" w:after="0"/>
    </w:pPr>
  </w:style>
  <w:style w:type="paragraph" w:customStyle="1" w:styleId="BodyTextBold">
    <w:name w:val="Body Text Bold"/>
    <w:basedOn w:val="BodyText"/>
    <w:qFormat/>
    <w:rsid w:val="000706DB"/>
    <w:rPr>
      <w:b/>
    </w:rPr>
  </w:style>
  <w:style w:type="character" w:styleId="Hyperlink">
    <w:name w:val="Hyperlink"/>
    <w:basedOn w:val="DefaultParagraphFont"/>
    <w:uiPriority w:val="99"/>
    <w:unhideWhenUsed/>
    <w:rsid w:val="00525B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1108</Words>
  <Characters>7580</Characters>
  <Application>Microsoft Office Word</Application>
  <DocSecurity>0</DocSecurity>
  <Lines>210</Lines>
  <Paragraphs>122</Paragraphs>
  <ScaleCrop>false</ScaleCrop>
  <Company>Author-it Software Corporation Ltd.</Company>
  <LinksUpToDate>false</LinksUpToDate>
  <CharactersWithSpaces>8566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TLIF3022 Implement/monitor procedures when warehousing/storing dangerous goods/hazardous substances</dc:title>
  <dc:subject>Approved</dc:subject>
  <dc:creator>Industry Skills Australia</dc:creator>
  <cp:keywords>Release: 1</cp:keywords>
  <dc:description>Review Date: 12 April 2008</dc:description>
  <cp:lastModifiedBy>HSD_TPCMSd.prod</cp:lastModifiedBy>
  <cp:revision>3</cp:revision>
  <dcterms:created xsi:type="dcterms:W3CDTF">2025-03-01T14:42:00Z</dcterms:created>
  <dcterms:modified xsi:type="dcterms:W3CDTF">2025-03-01T14:42:00Z</dcterms:modified>
</cp:coreProperties>
</file>