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828" w:rsidP="00E41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TLIF3015 Work safely as a non-electrical licensed worker near electrical assets</w:t>
      </w:r>
      <w:r>
        <w:fldChar w:fldCharType="end"/>
      </w:r>
    </w:p>
    <w:p w:rsidR="00E41828" w:rsidP="00E41828">
      <w:pPr>
        <w:pStyle w:val="Version"/>
        <w:sectPr w:rsidSect="000043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35D" w:rsidP="0000435D">
      <w:pPr>
        <w:pStyle w:val="SuperHeading"/>
      </w:pPr>
      <w:r w:rsidRPr="0000435D">
        <w:t>TLIF3015 Work safely as a non-electrical licensed worker near electrical assets</w:t>
      </w:r>
    </w:p>
    <w:p w:rsidR="00000000" w:rsidRPr="0000435D" w:rsidP="0000435D">
      <w:pPr>
        <w:pStyle w:val="Heading1"/>
      </w:pPr>
      <w:bookmarkStart w:id="1" w:name="O_817083"/>
      <w:bookmarkEnd w:id="1"/>
      <w:r w:rsidRPr="0000435D">
        <w:t>Modification History</w:t>
      </w:r>
    </w:p>
    <w:p w:rsidR="00E41828" w:rsidP="00E41828">
      <w:pPr>
        <w:pStyle w:val="BodyText"/>
      </w:pPr>
      <w:r w:rsidRPr="0000435D">
        <w:t>Release 1. This is the first release of this unit of competency in the TLI Transport and Logistics Training Package.</w:t>
      </w:r>
    </w:p>
    <w:p w:rsidR="00000000" w:rsidRPr="0000435D" w:rsidP="0000435D">
      <w:pPr>
        <w:pStyle w:val="Heading1"/>
      </w:pPr>
      <w:bookmarkStart w:id="2" w:name="O_817084"/>
      <w:bookmarkEnd w:id="2"/>
      <w:r w:rsidRPr="0000435D">
        <w:t>Application</w:t>
      </w:r>
    </w:p>
    <w:p w:rsidR="00000000" w:rsidRPr="0000435D" w:rsidP="00E41828">
      <w:pPr>
        <w:pStyle w:val="BodyText"/>
      </w:pPr>
      <w:r w:rsidRPr="0000435D">
        <w:t>This unit involves the skills and knowledge required to work safely near electrical assets as a non-electrical licensed worker.</w:t>
      </w:r>
    </w:p>
    <w:p w:rsidR="00000000" w:rsidRPr="0000435D" w:rsidP="00E41828">
      <w:pPr>
        <w:pStyle w:val="BodyText"/>
      </w:pPr>
      <w:r w:rsidRPr="0000435D">
        <w:t>It includes preparing to work safely near electrical assets, carrying out work near electrical assets safely, ceasin</w:t>
      </w:r>
      <w:r w:rsidRPr="0000435D">
        <w:t xml:space="preserve">g work near electrical assets when safety is compromised, evaluating additional potential threats, and completing relevant documentation. </w:t>
      </w:r>
    </w:p>
    <w:p w:rsidR="00000000" w:rsidRPr="0000435D" w:rsidP="00E41828">
      <w:pPr>
        <w:pStyle w:val="BodyText"/>
      </w:pPr>
      <w:r w:rsidRPr="0000435D">
        <w:t>This unit applies to workers whose role requires them to work within the vicinity of electrical assets.</w:t>
      </w:r>
    </w:p>
    <w:p w:rsidR="00E41828" w:rsidP="00E41828">
      <w:pPr>
        <w:pStyle w:val="BodyText"/>
      </w:pPr>
      <w:r w:rsidRPr="0000435D">
        <w:t>No licensing,</w:t>
      </w:r>
      <w:r w:rsidRPr="0000435D">
        <w:t xml:space="preserve"> legislative or certification requirements apply to this unit at the time of publication.</w:t>
      </w:r>
    </w:p>
    <w:p w:rsidR="00000000" w:rsidRPr="0000435D" w:rsidP="0000435D">
      <w:pPr>
        <w:pStyle w:val="Heading1"/>
      </w:pPr>
      <w:bookmarkStart w:id="3" w:name="O_817085"/>
      <w:bookmarkEnd w:id="3"/>
      <w:r w:rsidRPr="0000435D">
        <w:t>Pre-requisite Unit</w:t>
      </w:r>
    </w:p>
    <w:p w:rsidR="00E41828" w:rsidP="00E41828">
      <w:pPr>
        <w:pStyle w:val="BodyText"/>
      </w:pPr>
      <w:r w:rsidRPr="0000435D">
        <w:t>Not applicable.</w:t>
      </w:r>
    </w:p>
    <w:p w:rsidR="00000000" w:rsidRPr="0000435D" w:rsidP="0000435D">
      <w:pPr>
        <w:pStyle w:val="Heading1"/>
      </w:pPr>
      <w:bookmarkStart w:id="4" w:name="O_817086"/>
      <w:bookmarkEnd w:id="4"/>
      <w:r w:rsidRPr="0000435D">
        <w:t>Competency Field</w:t>
      </w:r>
    </w:p>
    <w:p w:rsidR="00E41828" w:rsidP="00E41828">
      <w:pPr>
        <w:pStyle w:val="BodyText"/>
      </w:pPr>
      <w:r w:rsidRPr="0000435D">
        <w:t>F – Safety Management</w:t>
      </w:r>
    </w:p>
    <w:p w:rsidR="00000000" w:rsidRPr="0000435D" w:rsidP="0000435D">
      <w:pPr>
        <w:pStyle w:val="Heading1"/>
      </w:pPr>
      <w:bookmarkStart w:id="5" w:name="O_817087"/>
      <w:bookmarkEnd w:id="5"/>
      <w:r w:rsidRPr="0000435D">
        <w:t>Unit Sector</w:t>
      </w:r>
    </w:p>
    <w:p w:rsidR="00E41828" w:rsidP="00E41828">
      <w:pPr>
        <w:pStyle w:val="BodyText"/>
      </w:pPr>
      <w:r w:rsidRPr="0000435D">
        <w:t>Not applicable.</w:t>
      </w:r>
    </w:p>
    <w:p w:rsidR="00000000" w:rsidRPr="0000435D" w:rsidP="0000435D">
      <w:pPr>
        <w:pStyle w:val="Heading1"/>
      </w:pPr>
      <w:bookmarkStart w:id="6" w:name="O_817088"/>
      <w:bookmarkEnd w:id="6"/>
      <w:r w:rsidRPr="000043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rPr>
                <w:rStyle w:val="SpecialBold"/>
              </w:rPr>
              <w:t>PERFORMANCE CRITERIA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 xml:space="preserve">Elements describe the </w:t>
            </w:r>
            <w:r w:rsidRPr="0000435D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 xml:space="preserve">Performance criteria describe the performance needed to demonstrate achievement of the </w:t>
            </w:r>
            <w:r w:rsidRPr="0000435D">
              <w:t>element.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rPr>
                <w:rStyle w:val="SpecialBold"/>
              </w:rPr>
              <w:t>Prepare to work safely near electrical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Relevant state/territory safe work legislative requirements are identified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Unsafe distances (clearance zones, no go zones or exclusion zones) near low and high voltage power lines are confirmed and applied to safe work planning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Safe work practices and procedures are planned for in accordance with state/territory regulatory</w:t>
            </w:r>
            <w:r w:rsidRPr="0000435D">
              <w:t xml:space="preserve"> requirements, codes of practice and workplace policies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Safe approach distances are identified and confirmed in accordance with state/territory legislation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Potential hazards are identified, risks are assessed and risk control options are prio</w:t>
            </w:r>
            <w:r w:rsidRPr="0000435D">
              <w:t xml:space="preserve">ritised and documented in accordance with workplace operating procedures and state/territory regulatory requirements 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Incident response plans are developed in accordance with safe systems of work, job safety, environmental analysis, work method stat</w:t>
            </w:r>
            <w:r w:rsidRPr="0000435D">
              <w:t>ements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rPr>
                <w:rStyle w:val="SpecialBold"/>
              </w:rPr>
              <w:t>Carry out work near electrical assets safely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Work health and safety (WHS)/occupational health and safety (OHS) principles and practices are applied, as required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Hazards are identified and monitored during work tasks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Changes to assessed risks are monitored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Risk control options are implemented, monitored and amended as required to ensure safe work operations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Potential risks and hazards are recorded and reported in accordance with workplace policies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Emergency procedures and incident response plans are appropriately prepared for all tasks and implemented in an e</w:t>
            </w:r>
            <w:r w:rsidRPr="0000435D">
              <w:t xml:space="preserve">mergency 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All personnel on the specific task or job site are made aware of the location of emergency procedures and incident response plans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Content of emergency procedures and incident response plans is explained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Cease work near electrical assets when safety is compromised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Operation of vehicle is stopped immediately contact with electrical assets is made, in accordance with workplace policies and procedures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Na</w:t>
            </w:r>
            <w:r w:rsidRPr="0000435D">
              <w:t>ture of electrical incident or potential threat is assessed and communicated to relevant personnel in accordance with workplace policies and procedures,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Request for emergency services to be contacted is made in accordance with workplace policies and procedures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rPr>
                <w:rStyle w:val="SpecialBold"/>
              </w:rPr>
              <w:t>Evaluate additional potential threats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While remaining in vehicle, additional threats are evaluated and a suitable plan of action to address t</w:t>
            </w:r>
            <w:r w:rsidRPr="0000435D">
              <w:t>hese additional threats is determined in accordance with workplace policies and procedures,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Location of fallen wires and other threats are determined and all parts of vehicle are treated as live and/or dan</w:t>
            </w:r>
            <w:r w:rsidRPr="0000435D">
              <w:t>gerous unless otherwise determined, in accordance with workplace policies and procedures,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People in close proximity are directed to stay clear until area is electrically s</w:t>
            </w:r>
            <w:r w:rsidRPr="0000435D">
              <w:t>afe and situation is resolved, in accordance with workplace policies and procedures,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Vehicle is exited in accordance with workplace policies and procedures or as directed by emergency services personnel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rPr>
                <w:rStyle w:val="SpecialBold"/>
              </w:rPr>
              <w:t>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Work schedules and authorisations including safe systems of work, job safety and environmental analysis, work method statements and work permits are documented in accordance with workplace procedures and state/territory</w:t>
            </w:r>
            <w:r w:rsidRPr="0000435D">
              <w:t xml:space="preserve">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Incident reports are recorded in accordance with workplace policies and procedures, and state/territory regulatory requirements</w:t>
            </w:r>
          </w:p>
        </w:tc>
      </w:tr>
      <w:tr w:rsidTr="00E418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35D">
            <w:pPr>
              <w:pStyle w:val="BodyText"/>
              <w:rPr>
                <w:lang w:val="en-NZ"/>
              </w:rPr>
            </w:pPr>
            <w:r w:rsidRPr="0000435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35D" w:rsidP="0000435D">
            <w:pPr>
              <w:pStyle w:val="BodyText"/>
            </w:pPr>
            <w:r w:rsidRPr="0000435D">
              <w:t>Relevant reports, records and</w:t>
            </w:r>
            <w:r w:rsidRPr="0000435D">
              <w:t xml:space="preserve"> data sheets are accurately recorded and lodged in accordance with workplace policies and procedures, and state/territory regulatory requirements</w:t>
            </w:r>
          </w:p>
        </w:tc>
      </w:tr>
    </w:tbl>
    <w:p w:rsidR="00E41828" w:rsidP="0000435D">
      <w:pPr>
        <w:pStyle w:val="BodyText"/>
      </w:pPr>
    </w:p>
    <w:p w:rsidR="00E41828" w:rsidP="0000435D">
      <w:pPr>
        <w:pStyle w:val="BodyText"/>
      </w:pPr>
    </w:p>
    <w:p w:rsidR="00000000" w:rsidRPr="0000435D" w:rsidP="0000435D">
      <w:pPr>
        <w:pStyle w:val="Heading1"/>
      </w:pPr>
      <w:bookmarkStart w:id="7" w:name="O_817089"/>
      <w:bookmarkEnd w:id="7"/>
      <w:r w:rsidRPr="0000435D">
        <w:t>Foundation Skills</w:t>
      </w:r>
    </w:p>
    <w:p w:rsidR="00E41828" w:rsidP="00E41828">
      <w:pPr>
        <w:pStyle w:val="BodyText"/>
      </w:pPr>
      <w:r w:rsidRPr="0000435D">
        <w:t>Foundation skills essential to performance are explicit in the performance criteria of this unit of competency.</w:t>
      </w:r>
    </w:p>
    <w:p w:rsidR="00000000" w:rsidRPr="0000435D" w:rsidP="0000435D">
      <w:pPr>
        <w:pStyle w:val="Heading1"/>
      </w:pPr>
      <w:bookmarkStart w:id="8" w:name="O_817090"/>
      <w:bookmarkEnd w:id="8"/>
      <w:r w:rsidRPr="0000435D">
        <w:t>Range of Conditions</w:t>
      </w:r>
    </w:p>
    <w:p w:rsidR="00000000" w:rsidRPr="0000435D" w:rsidP="00E41828">
      <w:pPr>
        <w:pStyle w:val="BodyText"/>
      </w:pPr>
      <w:r w:rsidRPr="0000435D">
        <w:t>Range is restricted to essential operating conditions and any other variables essential to the work enviro</w:t>
      </w:r>
      <w:r w:rsidRPr="0000435D">
        <w:t>nment.</w:t>
      </w:r>
    </w:p>
    <w:p w:rsidR="00E41828" w:rsidP="00E41828">
      <w:pPr>
        <w:pStyle w:val="BodyText"/>
      </w:pPr>
      <w:r w:rsidRPr="0000435D">
        <w:t>Non-essential conditions can be found in the Companion Volume Implementation guide.</w:t>
      </w:r>
    </w:p>
    <w:p w:rsidR="00000000" w:rsidRPr="0000435D" w:rsidP="0000435D">
      <w:pPr>
        <w:pStyle w:val="Heading1"/>
      </w:pPr>
      <w:bookmarkStart w:id="9" w:name="O_817091"/>
      <w:bookmarkEnd w:id="9"/>
      <w:r w:rsidRPr="0000435D">
        <w:t>Unit Mapping Information</w:t>
      </w:r>
    </w:p>
    <w:p w:rsidR="00E41828" w:rsidP="00E41828">
      <w:pPr>
        <w:pStyle w:val="BodyText"/>
      </w:pPr>
      <w:r w:rsidRPr="0000435D">
        <w:t>This unit replaces and is equivalent to TLIF3015A Work safely as a non-electrical licensed worker near electrical assets.</w:t>
      </w:r>
    </w:p>
    <w:p w:rsidR="00000000" w:rsidRPr="0000435D" w:rsidP="0000435D">
      <w:pPr>
        <w:pStyle w:val="Heading1"/>
      </w:pPr>
      <w:bookmarkStart w:id="10" w:name="O_817098"/>
      <w:bookmarkEnd w:id="10"/>
      <w:r w:rsidRPr="0000435D">
        <w:t>Links</w:t>
      </w:r>
    </w:p>
    <w:p w:rsidR="00000000" w:rsidRPr="0000435D" w:rsidP="00E41828">
      <w:pPr>
        <w:pStyle w:val="BodyText"/>
      </w:pPr>
      <w:r w:rsidRPr="000043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1E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435D" w:rsidP="0000435D"/>
    <w:sectPr w:rsidSect="000043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5D" w:rsidRPr="00E41828" w:rsidP="00E41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8" w:rsidP="000043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828" w:rsidP="000043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1828" w:rsidP="000043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35D" w:rsidRPr="00E41828" w:rsidP="00E41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828" w:rsidRPr="002D2AF8" w:rsidP="000043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TLIF3015 Work safely as a non-electrical licensed worker near electrical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1828" w:rsidP="000043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3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3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3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3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3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3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3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3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3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3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3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35D"/>
  </w:style>
  <w:style w:type="character" w:customStyle="1" w:styleId="Heading1Char">
    <w:name w:val="Heading 1 Char"/>
    <w:basedOn w:val="DefaultParagraphFont"/>
    <w:link w:val="Heading1"/>
    <w:rsid w:val="000043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3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3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435D"/>
    <w:rPr>
      <w:b/>
      <w:spacing w:val="0"/>
    </w:rPr>
  </w:style>
  <w:style w:type="paragraph" w:customStyle="1" w:styleId="SuperHeading">
    <w:name w:val="SuperHeading"/>
    <w:basedOn w:val="Normal"/>
    <w:rsid w:val="000043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3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3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3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3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3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3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3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3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3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3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3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3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3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3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3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3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3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3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43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43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3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3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3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3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3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3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3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3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3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3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3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3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3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35D"/>
    <w:rPr>
      <w:i/>
    </w:rPr>
  </w:style>
  <w:style w:type="paragraph" w:styleId="Caption">
    <w:name w:val="caption"/>
    <w:basedOn w:val="BodyText"/>
    <w:next w:val="Normal"/>
    <w:qFormat/>
    <w:rsid w:val="000043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3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3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35D"/>
  </w:style>
  <w:style w:type="paragraph" w:styleId="TableofFigures">
    <w:name w:val="table of figures"/>
    <w:basedOn w:val="Normal"/>
    <w:next w:val="Normal"/>
    <w:semiHidden/>
    <w:rsid w:val="000043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3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435D"/>
    <w:rPr>
      <w:rFonts w:ascii="Wingdings" w:hAnsi="Wingdings"/>
    </w:rPr>
  </w:style>
  <w:style w:type="paragraph" w:customStyle="1" w:styleId="TableHeading">
    <w:name w:val="Table Heading"/>
    <w:basedOn w:val="HeadingBase"/>
    <w:rsid w:val="000043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35D"/>
    <w:rPr>
      <w:color w:val="0033CC"/>
      <w:u w:val="none"/>
    </w:rPr>
  </w:style>
  <w:style w:type="paragraph" w:customStyle="1" w:styleId="BodyTextRight">
    <w:name w:val="Body Text Right"/>
    <w:basedOn w:val="BodyText"/>
    <w:rsid w:val="000043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3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3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3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3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3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35D"/>
    <w:rPr>
      <w:sz w:val="32"/>
    </w:rPr>
  </w:style>
  <w:style w:type="paragraph" w:customStyle="1" w:styleId="HeadingProcedure">
    <w:name w:val="Heading Procedure"/>
    <w:basedOn w:val="HeadingBase"/>
    <w:next w:val="Normal"/>
    <w:rsid w:val="000043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35D"/>
    <w:pPr>
      <w:spacing w:before="60" w:after="60"/>
    </w:pPr>
  </w:style>
  <w:style w:type="paragraph" w:styleId="ListContinue">
    <w:name w:val="List Continue"/>
    <w:basedOn w:val="List"/>
    <w:rsid w:val="0000435D"/>
    <w:pPr>
      <w:ind w:firstLine="0"/>
    </w:pPr>
  </w:style>
  <w:style w:type="paragraph" w:customStyle="1" w:styleId="ListNote">
    <w:name w:val="List Note"/>
    <w:basedOn w:val="List"/>
    <w:rsid w:val="000043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3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3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35D"/>
    <w:rPr>
      <w:rFonts w:ascii="Courier New" w:hAnsi="Courier New"/>
    </w:rPr>
  </w:style>
  <w:style w:type="paragraph" w:customStyle="1" w:styleId="NoteBullet">
    <w:name w:val="Note Bullet"/>
    <w:basedOn w:val="Note"/>
    <w:rsid w:val="000043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3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3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3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3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43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3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35D"/>
    <w:rPr>
      <w:b/>
      <w:smallCaps/>
    </w:rPr>
  </w:style>
  <w:style w:type="paragraph" w:customStyle="1" w:styleId="TableListNumber">
    <w:name w:val="Table List Number"/>
    <w:basedOn w:val="ListNumber"/>
    <w:rsid w:val="000043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3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35D"/>
    <w:pPr>
      <w:numPr>
        <w:numId w:val="7"/>
      </w:numPr>
    </w:pPr>
  </w:style>
  <w:style w:type="paragraph" w:customStyle="1" w:styleId="ListAlpha2">
    <w:name w:val="List Alpha 2"/>
    <w:basedOn w:val="List2"/>
    <w:rsid w:val="0000435D"/>
    <w:pPr>
      <w:numPr>
        <w:numId w:val="6"/>
      </w:numPr>
    </w:pPr>
  </w:style>
  <w:style w:type="paragraph" w:styleId="List2">
    <w:name w:val="List 2"/>
    <w:basedOn w:val="BodyText"/>
    <w:rsid w:val="000043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3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3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3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3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3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435D"/>
    <w:pPr>
      <w:numPr>
        <w:numId w:val="2"/>
      </w:numPr>
    </w:pPr>
  </w:style>
  <w:style w:type="paragraph" w:styleId="ListContinue2">
    <w:name w:val="List Continue 2"/>
    <w:basedOn w:val="List2"/>
    <w:rsid w:val="0000435D"/>
    <w:pPr>
      <w:ind w:firstLine="0"/>
    </w:pPr>
  </w:style>
  <w:style w:type="paragraph" w:styleId="ListContinue3">
    <w:name w:val="List Continue 3"/>
    <w:basedOn w:val="List3"/>
    <w:rsid w:val="0000435D"/>
    <w:pPr>
      <w:ind w:left="1021" w:firstLine="0"/>
    </w:pPr>
  </w:style>
  <w:style w:type="paragraph" w:styleId="ListContinue4">
    <w:name w:val="List Continue 4"/>
    <w:basedOn w:val="List4"/>
    <w:rsid w:val="0000435D"/>
    <w:pPr>
      <w:ind w:firstLine="0"/>
    </w:pPr>
  </w:style>
  <w:style w:type="paragraph" w:styleId="ListContinue5">
    <w:name w:val="List Continue 5"/>
    <w:basedOn w:val="List5"/>
    <w:rsid w:val="0000435D"/>
    <w:pPr>
      <w:ind w:firstLine="0"/>
    </w:pPr>
  </w:style>
  <w:style w:type="paragraph" w:styleId="ListNumber3">
    <w:name w:val="List Number 3"/>
    <w:basedOn w:val="List3"/>
    <w:rsid w:val="0000435D"/>
    <w:pPr>
      <w:numPr>
        <w:numId w:val="3"/>
      </w:numPr>
    </w:pPr>
  </w:style>
  <w:style w:type="paragraph" w:styleId="ListNumber4">
    <w:name w:val="List Number 4"/>
    <w:basedOn w:val="List4"/>
    <w:rsid w:val="0000435D"/>
    <w:pPr>
      <w:numPr>
        <w:numId w:val="4"/>
      </w:numPr>
    </w:pPr>
  </w:style>
  <w:style w:type="paragraph" w:styleId="ListNumber5">
    <w:name w:val="List Number 5"/>
    <w:basedOn w:val="List5"/>
    <w:rsid w:val="0000435D"/>
    <w:pPr>
      <w:numPr>
        <w:numId w:val="5"/>
      </w:numPr>
    </w:pPr>
  </w:style>
  <w:style w:type="paragraph" w:styleId="BlockText">
    <w:name w:val="Block Text"/>
    <w:basedOn w:val="Normal"/>
    <w:rsid w:val="000043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3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35D"/>
    <w:rPr>
      <w:sz w:val="16"/>
      <w:vertAlign w:val="superscript"/>
    </w:rPr>
  </w:style>
  <w:style w:type="character" w:customStyle="1" w:styleId="Symbols">
    <w:name w:val="Symbols"/>
    <w:basedOn w:val="DefaultParagraphFont"/>
    <w:rsid w:val="0000435D"/>
    <w:rPr>
      <w:rFonts w:ascii="Symbol" w:hAnsi="Symbol"/>
    </w:rPr>
  </w:style>
  <w:style w:type="character" w:customStyle="1" w:styleId="MenuOptions">
    <w:name w:val="Menu Options"/>
    <w:basedOn w:val="DefaultParagraphFont"/>
    <w:rsid w:val="000043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35D"/>
    <w:rPr>
      <w:b/>
    </w:rPr>
  </w:style>
  <w:style w:type="character" w:customStyle="1" w:styleId="Underlined">
    <w:name w:val="Underlined"/>
    <w:basedOn w:val="DefaultParagraphFont"/>
    <w:rsid w:val="0000435D"/>
    <w:rPr>
      <w:u w:val="single"/>
    </w:rPr>
  </w:style>
  <w:style w:type="paragraph" w:customStyle="1" w:styleId="TableBodyTextRight">
    <w:name w:val="Table Body Text Right"/>
    <w:basedOn w:val="TableBodyText"/>
    <w:rsid w:val="000043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35D"/>
    <w:rPr>
      <w:sz w:val="18"/>
    </w:rPr>
  </w:style>
  <w:style w:type="paragraph" w:customStyle="1" w:styleId="BodySmallRight">
    <w:name w:val="Body Small Right"/>
    <w:basedOn w:val="BodyTextRight"/>
    <w:rsid w:val="0000435D"/>
    <w:rPr>
      <w:sz w:val="18"/>
      <w:szCs w:val="18"/>
    </w:rPr>
  </w:style>
  <w:style w:type="paragraph" w:customStyle="1" w:styleId="MarginEdition">
    <w:name w:val="Margin Edition"/>
    <w:basedOn w:val="MarginNote"/>
    <w:rsid w:val="000043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35D"/>
    <w:rPr>
      <w:sz w:val="2"/>
      <w:szCs w:val="2"/>
    </w:rPr>
  </w:style>
  <w:style w:type="character" w:customStyle="1" w:styleId="Small">
    <w:name w:val="Small"/>
    <w:basedOn w:val="DefaultParagraphFont"/>
    <w:rsid w:val="0000435D"/>
    <w:rPr>
      <w:sz w:val="16"/>
    </w:rPr>
  </w:style>
  <w:style w:type="paragraph" w:customStyle="1" w:styleId="WideTable">
    <w:name w:val="Wide Table"/>
    <w:basedOn w:val="Normal"/>
    <w:rsid w:val="000043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35D"/>
  </w:style>
  <w:style w:type="paragraph" w:styleId="Quote">
    <w:name w:val="Quote"/>
    <w:basedOn w:val="Heading1"/>
    <w:link w:val="QuoteChar"/>
    <w:qFormat/>
    <w:rsid w:val="000043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3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35D"/>
    <w:pPr>
      <w:pageBreakBefore/>
    </w:pPr>
  </w:style>
  <w:style w:type="paragraph" w:customStyle="1" w:styleId="Border">
    <w:name w:val="Border"/>
    <w:basedOn w:val="Normal"/>
    <w:qFormat/>
    <w:rsid w:val="000043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3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3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3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3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3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3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3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3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35D"/>
    <w:rPr>
      <w:u w:val="single"/>
    </w:rPr>
  </w:style>
  <w:style w:type="character" w:customStyle="1" w:styleId="BoldandItalics">
    <w:name w:val="Bold and Italics"/>
    <w:qFormat/>
    <w:rsid w:val="0000435D"/>
    <w:rPr>
      <w:b/>
      <w:i/>
      <w:u w:val="none"/>
    </w:rPr>
  </w:style>
  <w:style w:type="paragraph" w:styleId="BalloonText">
    <w:name w:val="Balloon Text"/>
    <w:basedOn w:val="Normal"/>
    <w:link w:val="BalloonTextChar"/>
    <w:rsid w:val="000043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3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3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3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3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3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35D"/>
    <w:pPr>
      <w:spacing w:before="0" w:after="0"/>
    </w:pPr>
  </w:style>
  <w:style w:type="paragraph" w:customStyle="1" w:styleId="BodyTextBold">
    <w:name w:val="Body Text Bold"/>
    <w:basedOn w:val="BodyText"/>
    <w:qFormat/>
    <w:rsid w:val="0000435D"/>
    <w:rPr>
      <w:b/>
    </w:rPr>
  </w:style>
  <w:style w:type="character" w:styleId="Hyperlink">
    <w:name w:val="Hyperlink"/>
    <w:basedOn w:val="DefaultParagraphFont"/>
    <w:uiPriority w:val="99"/>
    <w:unhideWhenUsed/>
    <w:rsid w:val="00E41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5110</Characters>
  <Application>Microsoft Office Word</Application>
  <DocSecurity>0</DocSecurity>
  <Lines>204</Lines>
  <Paragraphs>105</Paragraphs>
  <ScaleCrop>false</ScaleCrop>
  <Company>Author-it Software Corporation Ltd.</Company>
  <LinksUpToDate>false</LinksUpToDate>
  <CharactersWithSpaces>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TLIF3015 Work safely as a non-electrical licensed worker near electrical assets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