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F5F" w:rsidP="00686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TLIF2082 Perform handsignaller duties</w:t>
      </w:r>
      <w:r>
        <w:fldChar w:fldCharType="end"/>
      </w:r>
    </w:p>
    <w:p w:rsidR="00686F5F" w:rsidP="00686F5F">
      <w:pPr>
        <w:pStyle w:val="Version"/>
        <w:sectPr w:rsidSect="00917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717E" w:rsidP="0091717E">
      <w:pPr>
        <w:pStyle w:val="SuperHeading"/>
      </w:pPr>
      <w:r w:rsidRPr="0091717E">
        <w:t>TLIF2082 Perform handsignaller duties</w:t>
      </w:r>
    </w:p>
    <w:p w:rsidR="00000000" w:rsidRPr="0091717E" w:rsidP="0091717E">
      <w:pPr>
        <w:pStyle w:val="Heading1"/>
      </w:pPr>
      <w:bookmarkStart w:id="1" w:name="O_1196082"/>
      <w:bookmarkEnd w:id="1"/>
      <w:r w:rsidRPr="009171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Release 2</w:t>
            </w:r>
            <w:r w:rsidRPr="0091717E">
              <w:t>. This is the second release of this unit of competency in the TLI Transport and Logistics Training Package:</w:t>
            </w:r>
          </w:p>
          <w:p w:rsidR="00000000" w:rsidRPr="0091717E" w:rsidP="0091717E">
            <w:pPr>
              <w:pStyle w:val="ListBullet"/>
            </w:pPr>
            <w:r w:rsidRPr="0091717E">
              <w:t>Minor statement changes in Performance Evidence</w:t>
            </w:r>
          </w:p>
          <w:p w:rsidR="00000000" w:rsidRPr="0091717E" w:rsidP="0091717E">
            <w:pPr>
              <w:pStyle w:val="ListBullet"/>
            </w:pPr>
            <w:r w:rsidRPr="0091717E">
              <w:t>Minor statement changes in Knowledge Evidence</w:t>
            </w:r>
          </w:p>
          <w:p w:rsidR="00000000" w:rsidP="0091717E">
            <w:pPr>
              <w:pStyle w:val="ListBullet"/>
              <w:rPr>
                <w:lang w:val="en-NZ"/>
              </w:rPr>
            </w:pPr>
            <w:r w:rsidRPr="0091717E">
              <w:t>Minor statement change</w:t>
            </w:r>
            <w:r w:rsidRPr="0091717E">
              <w:t>s in Assessment Conditions.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Release 1</w:t>
            </w:r>
            <w:r w:rsidRPr="0091717E">
              <w:t>. This is the first release of this unit of competency in the TLI Transport and Logistics Training Package.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2" w:name="O_1196081"/>
      <w:bookmarkEnd w:id="2"/>
      <w:r w:rsidRPr="009171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This unit involves the skills and knowledge required to perform handsignaller</w:t>
            </w:r>
            <w:r w:rsidRPr="0091717E">
              <w:t xml:space="preserve"> duties in accordance with Rail Infrastructure Manager, legislative and regulatory requirements.</w:t>
            </w:r>
          </w:p>
          <w:p w:rsidR="00000000" w:rsidRPr="0091717E" w:rsidP="0091717E">
            <w:pPr>
              <w:pStyle w:val="BodyText"/>
            </w:pPr>
            <w:r w:rsidRPr="0091717E">
              <w:t xml:space="preserve">It includes identifying site protection requirements, taking up handsignaller positions, using hand signal commands to manage rail traffic, and taking actions </w:t>
            </w:r>
            <w:r w:rsidRPr="0091717E">
              <w:t>in unsafe situations or emergencies.</w:t>
            </w:r>
          </w:p>
          <w:p w:rsidR="00000000" w:rsidRPr="0091717E" w:rsidP="0091717E">
            <w:pPr>
              <w:pStyle w:val="BodyText"/>
            </w:pPr>
            <w:r w:rsidRPr="0091717E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91717E" w:rsidP="0091717E">
            <w:pPr>
              <w:pStyle w:val="BodyText"/>
            </w:pPr>
            <w:r w:rsidRPr="0091717E">
              <w:t xml:space="preserve">The unit includes the application of Rail Infrastructure Manager rules, procedures and protocols for performing handsignaller duties. </w:t>
            </w:r>
          </w:p>
          <w:p w:rsidR="00000000" w:rsidRPr="0091717E" w:rsidP="0091717E">
            <w:pPr>
              <w:pStyle w:val="BodyText"/>
            </w:pPr>
            <w:r w:rsidRPr="0091717E">
              <w:t>A hand signal is a signal given by hand movements, with or without a flag, board or light.</w:t>
            </w:r>
          </w:p>
          <w:p w:rsidR="00000000" w:rsidRPr="0091717E" w:rsidP="0091717E">
            <w:pPr>
              <w:pStyle w:val="BodyText"/>
            </w:pPr>
            <w:r w:rsidRPr="0091717E">
              <w:t>No licensing, legislative or c</w:t>
            </w:r>
            <w:r w:rsidRPr="0091717E">
              <w:t>ertification requirements apply to this unit at the time of publication.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3" w:name="O_1196080"/>
      <w:bookmarkEnd w:id="3"/>
      <w:r w:rsidRPr="009171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Not applicable.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4" w:name="O_1196079"/>
      <w:bookmarkEnd w:id="4"/>
      <w:r w:rsidRPr="009171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F – Safety Management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5" w:name="O_1196078"/>
      <w:bookmarkEnd w:id="5"/>
      <w:r w:rsidRPr="009171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Rail sector.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6" w:name="O_1196077"/>
      <w:bookmarkEnd w:id="6"/>
      <w:r w:rsidRPr="009171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580"/>
        <w:gridCol w:w="427"/>
        <w:gridCol w:w="6124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Elements describe the essential outcomes.</w:t>
            </w:r>
          </w:p>
        </w:tc>
        <w:tc>
          <w:tcPr>
            <w:tcW w:w="65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Performance criteria describe the performance needed to demonstrate achievement of the element.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1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Identify site protection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Worksite protection plan briefing conducted by relevant personnel is attended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Responsibilities as handsignaller for protection are identified and clarified as required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Hazards are identified, risks are assessed and control measures are implemented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Tools and equipment required for handsignalling duties are identified, obtained and checked for functional condition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1.5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Communications equipment to be used is tested</w:t>
            </w:r>
            <w:r w:rsidRPr="0091717E">
              <w:t xml:space="preserve"> and set to correct channel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2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Take up handsignaller position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Danger zone is safely accessed in accordance with workplace procedures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 xml:space="preserve">Unsafe and/or ineffective signalling positions are identified and reported in accordance with workplace </w:t>
            </w:r>
            <w:r w:rsidRPr="0091717E">
              <w:t>procedures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Handsignalling positions that conform to worksite protection plan and workplace procedures are identified and the most appropriate position is chosen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Situational awareness is conducted to identify potential risks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Audible track warning devices are applied in accordance with workplace procedures as required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Effectiveness of handsignalling position and communications protocols are confirmed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3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Use hand signal commands to manage rail traffic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Vigilance is maintained at all times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Protection officer is alerted to approaching rail traffic in accordance with workplace procedures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Correct hand signal is displayed to rail traffic in accordance with protection officer instructions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Verbal instructions are provided to train driver, as required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Railway track signals are replaced, as required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4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rPr>
                <w:rStyle w:val="SpecialBold"/>
              </w:rPr>
              <w:t>Take action in unsafe situations or emergencies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t>Unsafe situations and/or emergencies are identified and appropriate actions taken to minimise risk in accordance with workplace procedures</w:t>
            </w:r>
          </w:p>
        </w:tc>
      </w:tr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7E">
            <w:pPr>
              <w:pStyle w:val="BodyText"/>
              <w:rPr>
                <w:lang w:val="en-NZ"/>
              </w:rPr>
            </w:pPr>
            <w:r w:rsidRPr="0091717E">
              <w:rPr>
                <w:rStyle w:val="SpecialBold"/>
              </w:rPr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Emergencies and/or incidents are recorded and reported to relevant personnel in accordance with workplace proc</w:t>
            </w:r>
            <w:r w:rsidRPr="0091717E">
              <w:t>edures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7" w:name="O_1196076"/>
      <w:bookmarkEnd w:id="7"/>
      <w:r w:rsidRPr="009171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Foundation skills essential to performance are explicit in the performance criteria of this unit of competency.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8" w:name="O_1196075"/>
      <w:bookmarkEnd w:id="8"/>
      <w:r w:rsidRPr="009171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Range is restricted to essential operating conditions and any other variables essential to the work environment.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9" w:name="O_1196074"/>
      <w:bookmarkEnd w:id="9"/>
      <w:r w:rsidRPr="009171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7E" w:rsidP="0091717E">
            <w:pPr>
              <w:pStyle w:val="BodyText"/>
            </w:pPr>
            <w:r w:rsidRPr="0091717E">
              <w:t>This unit replaces and is equivalent to TLIF2082B Perform handsignaller duties.</w:t>
            </w:r>
          </w:p>
        </w:tc>
      </w:tr>
    </w:tbl>
    <w:p w:rsidR="00000000" w:rsidRPr="0091717E" w:rsidP="0091717E">
      <w:pPr>
        <w:pStyle w:val="NoPaddingFontSize1"/>
      </w:pPr>
    </w:p>
    <w:p w:rsidR="00000000" w:rsidRPr="0091717E" w:rsidP="0091717E">
      <w:pPr>
        <w:pStyle w:val="AllowPageBreak"/>
      </w:pPr>
    </w:p>
    <w:p w:rsidR="00000000" w:rsidRPr="0091717E" w:rsidP="0091717E">
      <w:pPr>
        <w:pStyle w:val="Heading1"/>
      </w:pPr>
      <w:bookmarkStart w:id="10" w:name="O_1196083"/>
      <w:bookmarkEnd w:id="10"/>
      <w:r w:rsidRPr="0091717E">
        <w:t>Links</w:t>
      </w:r>
    </w:p>
    <w:p w:rsidR="00000000" w:rsidRPr="0091717E" w:rsidP="00686F5F">
      <w:pPr>
        <w:pStyle w:val="BodyText"/>
      </w:pPr>
      <w:r w:rsidRPr="00917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57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717E" w:rsidP="0091717E"/>
    <w:sectPr w:rsidSect="00917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E" w:rsidRPr="00686F5F" w:rsidP="00686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5F" w:rsidP="00917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F5F" w:rsidP="00917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6F5F" w:rsidP="00917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17E" w:rsidRPr="00686F5F" w:rsidP="00686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5F" w:rsidRPr="002D2AF8" w:rsidP="00917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TLIF2082 Perform handsignaller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86F5F" w:rsidP="00917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4F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4B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7E"/>
  </w:style>
  <w:style w:type="character" w:customStyle="1" w:styleId="Heading1Char">
    <w:name w:val="Heading 1 Char"/>
    <w:basedOn w:val="DefaultParagraphFont"/>
    <w:link w:val="Heading1"/>
    <w:rsid w:val="00917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17E"/>
    <w:rPr>
      <w:b/>
      <w:spacing w:val="0"/>
    </w:rPr>
  </w:style>
  <w:style w:type="paragraph" w:customStyle="1" w:styleId="SuperHeading">
    <w:name w:val="SuperHeading"/>
    <w:basedOn w:val="Normal"/>
    <w:rsid w:val="00917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7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17E"/>
    <w:rPr>
      <w:i/>
    </w:rPr>
  </w:style>
  <w:style w:type="paragraph" w:styleId="Caption">
    <w:name w:val="caption"/>
    <w:basedOn w:val="BodyText"/>
    <w:next w:val="Normal"/>
    <w:qFormat/>
    <w:rsid w:val="00917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7E"/>
  </w:style>
  <w:style w:type="paragraph" w:styleId="TableofFigures">
    <w:name w:val="table of figures"/>
    <w:basedOn w:val="Normal"/>
    <w:next w:val="Normal"/>
    <w:semiHidden/>
    <w:rsid w:val="00917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17E"/>
    <w:rPr>
      <w:rFonts w:ascii="Wingdings" w:hAnsi="Wingdings"/>
    </w:rPr>
  </w:style>
  <w:style w:type="paragraph" w:customStyle="1" w:styleId="TableHeading">
    <w:name w:val="Table Heading"/>
    <w:basedOn w:val="HeadingBase"/>
    <w:rsid w:val="00917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7E"/>
    <w:rPr>
      <w:color w:val="0033CC"/>
      <w:u w:val="none"/>
    </w:rPr>
  </w:style>
  <w:style w:type="paragraph" w:customStyle="1" w:styleId="BodyTextRight">
    <w:name w:val="Body Text Right"/>
    <w:basedOn w:val="BodyText"/>
    <w:rsid w:val="00917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7E"/>
    <w:rPr>
      <w:sz w:val="32"/>
    </w:rPr>
  </w:style>
  <w:style w:type="paragraph" w:customStyle="1" w:styleId="HeadingProcedure">
    <w:name w:val="Heading Procedure"/>
    <w:basedOn w:val="HeadingBase"/>
    <w:next w:val="Normal"/>
    <w:rsid w:val="00917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7E"/>
    <w:pPr>
      <w:spacing w:before="60" w:after="60"/>
    </w:pPr>
  </w:style>
  <w:style w:type="paragraph" w:styleId="ListContinue">
    <w:name w:val="List Continue"/>
    <w:basedOn w:val="List"/>
    <w:rsid w:val="0091717E"/>
    <w:pPr>
      <w:ind w:firstLine="0"/>
    </w:pPr>
  </w:style>
  <w:style w:type="paragraph" w:customStyle="1" w:styleId="ListNote">
    <w:name w:val="List Note"/>
    <w:basedOn w:val="List"/>
    <w:rsid w:val="00917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7E"/>
    <w:rPr>
      <w:rFonts w:ascii="Courier New" w:hAnsi="Courier New"/>
    </w:rPr>
  </w:style>
  <w:style w:type="paragraph" w:customStyle="1" w:styleId="NoteBullet">
    <w:name w:val="Note Bullet"/>
    <w:basedOn w:val="Note"/>
    <w:rsid w:val="00917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7E"/>
    <w:rPr>
      <w:b/>
      <w:smallCaps/>
    </w:rPr>
  </w:style>
  <w:style w:type="paragraph" w:customStyle="1" w:styleId="TableListNumber">
    <w:name w:val="Table List Number"/>
    <w:basedOn w:val="ListNumber"/>
    <w:rsid w:val="00917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7E"/>
    <w:pPr>
      <w:numPr>
        <w:numId w:val="8"/>
      </w:numPr>
    </w:pPr>
  </w:style>
  <w:style w:type="paragraph" w:customStyle="1" w:styleId="ListAlpha2">
    <w:name w:val="List Alpha 2"/>
    <w:basedOn w:val="List2"/>
    <w:rsid w:val="0091717E"/>
    <w:pPr>
      <w:numPr>
        <w:numId w:val="7"/>
      </w:numPr>
    </w:pPr>
  </w:style>
  <w:style w:type="paragraph" w:styleId="List2">
    <w:name w:val="List 2"/>
    <w:basedOn w:val="BodyText"/>
    <w:rsid w:val="00917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17E"/>
    <w:pPr>
      <w:numPr>
        <w:numId w:val="3"/>
      </w:numPr>
    </w:pPr>
  </w:style>
  <w:style w:type="paragraph" w:styleId="ListContinue2">
    <w:name w:val="List Continue 2"/>
    <w:basedOn w:val="List2"/>
    <w:rsid w:val="0091717E"/>
    <w:pPr>
      <w:ind w:firstLine="0"/>
    </w:pPr>
  </w:style>
  <w:style w:type="paragraph" w:styleId="ListContinue3">
    <w:name w:val="List Continue 3"/>
    <w:basedOn w:val="List3"/>
    <w:rsid w:val="0091717E"/>
    <w:pPr>
      <w:ind w:left="1021" w:firstLine="0"/>
    </w:pPr>
  </w:style>
  <w:style w:type="paragraph" w:styleId="ListContinue4">
    <w:name w:val="List Continue 4"/>
    <w:basedOn w:val="List4"/>
    <w:rsid w:val="0091717E"/>
    <w:pPr>
      <w:ind w:firstLine="0"/>
    </w:pPr>
  </w:style>
  <w:style w:type="paragraph" w:styleId="ListContinue5">
    <w:name w:val="List Continue 5"/>
    <w:basedOn w:val="List5"/>
    <w:rsid w:val="0091717E"/>
    <w:pPr>
      <w:ind w:firstLine="0"/>
    </w:pPr>
  </w:style>
  <w:style w:type="paragraph" w:styleId="ListNumber3">
    <w:name w:val="List Number 3"/>
    <w:basedOn w:val="List3"/>
    <w:rsid w:val="0091717E"/>
    <w:pPr>
      <w:numPr>
        <w:numId w:val="4"/>
      </w:numPr>
    </w:pPr>
  </w:style>
  <w:style w:type="paragraph" w:styleId="ListNumber4">
    <w:name w:val="List Number 4"/>
    <w:basedOn w:val="List4"/>
    <w:rsid w:val="0091717E"/>
    <w:pPr>
      <w:numPr>
        <w:numId w:val="5"/>
      </w:numPr>
    </w:pPr>
  </w:style>
  <w:style w:type="paragraph" w:styleId="ListNumber5">
    <w:name w:val="List Number 5"/>
    <w:basedOn w:val="List5"/>
    <w:rsid w:val="0091717E"/>
    <w:pPr>
      <w:numPr>
        <w:numId w:val="6"/>
      </w:numPr>
    </w:pPr>
  </w:style>
  <w:style w:type="paragraph" w:styleId="BlockText">
    <w:name w:val="Block Text"/>
    <w:basedOn w:val="Normal"/>
    <w:rsid w:val="00917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7E"/>
    <w:rPr>
      <w:sz w:val="16"/>
      <w:vertAlign w:val="superscript"/>
    </w:rPr>
  </w:style>
  <w:style w:type="character" w:customStyle="1" w:styleId="Symbols">
    <w:name w:val="Symbols"/>
    <w:basedOn w:val="DefaultParagraphFont"/>
    <w:rsid w:val="0091717E"/>
    <w:rPr>
      <w:rFonts w:ascii="Symbol" w:hAnsi="Symbol"/>
    </w:rPr>
  </w:style>
  <w:style w:type="character" w:customStyle="1" w:styleId="MenuOptions">
    <w:name w:val="Menu Options"/>
    <w:basedOn w:val="DefaultParagraphFont"/>
    <w:rsid w:val="00917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7E"/>
    <w:rPr>
      <w:b/>
    </w:rPr>
  </w:style>
  <w:style w:type="character" w:customStyle="1" w:styleId="Underlined">
    <w:name w:val="Underlined"/>
    <w:basedOn w:val="DefaultParagraphFont"/>
    <w:rsid w:val="0091717E"/>
    <w:rPr>
      <w:u w:val="single"/>
    </w:rPr>
  </w:style>
  <w:style w:type="paragraph" w:customStyle="1" w:styleId="TableBodyTextRight">
    <w:name w:val="Table Body Text Right"/>
    <w:basedOn w:val="TableBodyText"/>
    <w:rsid w:val="00917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7E"/>
    <w:rPr>
      <w:sz w:val="18"/>
    </w:rPr>
  </w:style>
  <w:style w:type="paragraph" w:customStyle="1" w:styleId="BodySmallRight">
    <w:name w:val="Body Small Right"/>
    <w:basedOn w:val="BodyTextRight"/>
    <w:rsid w:val="0091717E"/>
    <w:rPr>
      <w:sz w:val="18"/>
      <w:szCs w:val="18"/>
    </w:rPr>
  </w:style>
  <w:style w:type="paragraph" w:customStyle="1" w:styleId="MarginEdition">
    <w:name w:val="Margin Edition"/>
    <w:basedOn w:val="MarginNote"/>
    <w:rsid w:val="00917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7E"/>
    <w:rPr>
      <w:sz w:val="2"/>
      <w:szCs w:val="2"/>
    </w:rPr>
  </w:style>
  <w:style w:type="character" w:customStyle="1" w:styleId="Small">
    <w:name w:val="Small"/>
    <w:basedOn w:val="DefaultParagraphFont"/>
    <w:rsid w:val="0091717E"/>
    <w:rPr>
      <w:sz w:val="16"/>
    </w:rPr>
  </w:style>
  <w:style w:type="paragraph" w:customStyle="1" w:styleId="WideTable">
    <w:name w:val="Wide Table"/>
    <w:basedOn w:val="Normal"/>
    <w:rsid w:val="00917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7E"/>
  </w:style>
  <w:style w:type="paragraph" w:styleId="Quote">
    <w:name w:val="Quote"/>
    <w:basedOn w:val="Heading1"/>
    <w:link w:val="QuoteChar"/>
    <w:qFormat/>
    <w:rsid w:val="00917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7E"/>
    <w:pPr>
      <w:pageBreakBefore/>
    </w:pPr>
  </w:style>
  <w:style w:type="paragraph" w:customStyle="1" w:styleId="Border">
    <w:name w:val="Border"/>
    <w:basedOn w:val="Normal"/>
    <w:qFormat/>
    <w:rsid w:val="00917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7E"/>
    <w:rPr>
      <w:u w:val="single"/>
    </w:rPr>
  </w:style>
  <w:style w:type="character" w:customStyle="1" w:styleId="BoldandItalics">
    <w:name w:val="Bold and Italics"/>
    <w:qFormat/>
    <w:rsid w:val="0091717E"/>
    <w:rPr>
      <w:b/>
      <w:i/>
      <w:u w:val="none"/>
    </w:rPr>
  </w:style>
  <w:style w:type="paragraph" w:styleId="BalloonText">
    <w:name w:val="Balloon Text"/>
    <w:basedOn w:val="Normal"/>
    <w:link w:val="BalloonTextChar"/>
    <w:rsid w:val="00917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17E"/>
    <w:pPr>
      <w:spacing w:before="0" w:after="0"/>
    </w:pPr>
  </w:style>
  <w:style w:type="paragraph" w:customStyle="1" w:styleId="BodyTextBold">
    <w:name w:val="Body Text Bold"/>
    <w:basedOn w:val="BodyText"/>
    <w:qFormat/>
    <w:rsid w:val="0091717E"/>
    <w:rPr>
      <w:b/>
    </w:rPr>
  </w:style>
  <w:style w:type="character" w:styleId="Hyperlink">
    <w:name w:val="Hyperlink"/>
    <w:basedOn w:val="DefaultParagraphFont"/>
    <w:uiPriority w:val="99"/>
    <w:unhideWhenUsed/>
    <w:rsid w:val="00686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3703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TLIF2082 Perform handsignaller duties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