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6C6" w:rsidP="00D67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TLIF2081 Perform lookout duties</w:t>
      </w:r>
      <w:r>
        <w:fldChar w:fldCharType="end"/>
      </w:r>
    </w:p>
    <w:p w:rsidR="00D676C6" w:rsidP="00D676C6">
      <w:pPr>
        <w:pStyle w:val="Version"/>
        <w:sectPr w:rsidSect="00605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504" w:rsidP="00605504">
      <w:pPr>
        <w:pStyle w:val="SuperHeading"/>
      </w:pPr>
      <w:r w:rsidRPr="00605504">
        <w:t>TLIF2081 Perform lookout duties</w:t>
      </w:r>
    </w:p>
    <w:p w:rsidR="00000000" w:rsidRPr="00605504" w:rsidP="00605504">
      <w:pPr>
        <w:pStyle w:val="Heading1"/>
      </w:pPr>
      <w:bookmarkStart w:id="1" w:name="O_751791"/>
      <w:bookmarkEnd w:id="1"/>
      <w:r w:rsidRPr="00605504">
        <w:t>Modification History</w:t>
      </w:r>
    </w:p>
    <w:p w:rsidR="00D676C6" w:rsidP="00D676C6">
      <w:pPr>
        <w:pStyle w:val="BodyText"/>
      </w:pPr>
      <w:r w:rsidRPr="00605504">
        <w:t>Release 1. This is the first release of this unit of competency in the TLI Transport and Logistics Training Package.</w:t>
      </w:r>
    </w:p>
    <w:p w:rsidR="00000000" w:rsidRPr="00605504" w:rsidP="00605504">
      <w:pPr>
        <w:pStyle w:val="Heading1"/>
      </w:pPr>
      <w:bookmarkStart w:id="2" w:name="O_751792"/>
      <w:bookmarkEnd w:id="2"/>
      <w:r w:rsidRPr="0060550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676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504" w:rsidP="00605504">
            <w:pPr>
              <w:pStyle w:val="BodyText"/>
            </w:pPr>
            <w:r w:rsidRPr="00605504">
              <w:t>This unit involves the skills and knowledge required to perform lookout duties on a rail</w:t>
            </w:r>
            <w:r w:rsidRPr="00605504">
              <w:t xml:space="preserve"> network, in accordance with Rail Infrastructure Manager, legislative and regulatory requirements. </w:t>
            </w:r>
          </w:p>
          <w:p w:rsidR="00000000" w:rsidRPr="00605504" w:rsidP="00605504">
            <w:pPr>
              <w:pStyle w:val="BodyText"/>
            </w:pPr>
            <w:r w:rsidRPr="00605504">
              <w:t>It includes taking up looking position, conducting lookout duties and taking action in unsafe situations or emergencies.</w:t>
            </w:r>
          </w:p>
          <w:p w:rsidR="00000000" w:rsidRPr="00605504" w:rsidP="00605504">
            <w:pPr>
              <w:pStyle w:val="BodyText"/>
            </w:pPr>
            <w:r w:rsidRPr="00605504">
              <w:t>People achieving competence in this</w:t>
            </w:r>
            <w:r w:rsidRPr="00605504">
              <w:t xml:space="preserve"> unit will need to fulfil the applicable state/territory legislated rail safety requirements and to comply with relevant codes of practice and/or guidelines.</w:t>
            </w:r>
          </w:p>
          <w:p w:rsidR="00000000" w:rsidRPr="00605504" w:rsidP="00605504">
            <w:pPr>
              <w:pStyle w:val="BodyText"/>
            </w:pPr>
            <w:r w:rsidRPr="00605504">
              <w:t>The unit includes the application of Rail Infrastructure Manager rules, procedures and protocols f</w:t>
            </w:r>
            <w:r w:rsidRPr="00605504">
              <w:t>or rail safety.</w:t>
            </w:r>
          </w:p>
          <w:p w:rsidR="00000000" w:rsidRPr="00605504" w:rsidP="00605504">
            <w:pPr>
              <w:pStyle w:val="BodyText"/>
            </w:pPr>
            <w:r w:rsidRPr="00605504">
              <w:t>No licensing, legislative or certification requirements apply to this unit at the time of publication.</w:t>
            </w:r>
          </w:p>
        </w:tc>
      </w:tr>
    </w:tbl>
    <w:p w:rsidR="00D676C6" w:rsidP="00605504">
      <w:pPr>
        <w:pStyle w:val="BodyText"/>
      </w:pPr>
    </w:p>
    <w:p w:rsidR="00D676C6" w:rsidP="00605504">
      <w:pPr>
        <w:pStyle w:val="BodyText"/>
      </w:pPr>
    </w:p>
    <w:p w:rsidR="00000000" w:rsidRPr="00605504" w:rsidP="00605504">
      <w:pPr>
        <w:pStyle w:val="Heading1"/>
      </w:pPr>
      <w:bookmarkStart w:id="3" w:name="O_751793"/>
      <w:bookmarkEnd w:id="3"/>
      <w:r w:rsidRPr="00605504">
        <w:t>Pre-requisite Unit</w:t>
      </w:r>
    </w:p>
    <w:p w:rsidR="00D676C6" w:rsidP="00D676C6">
      <w:pPr>
        <w:pStyle w:val="BodyText"/>
      </w:pPr>
      <w:r w:rsidRPr="00605504">
        <w:t>Not applicable.</w:t>
      </w:r>
    </w:p>
    <w:p w:rsidR="00000000" w:rsidRPr="00605504" w:rsidP="00605504">
      <w:pPr>
        <w:pStyle w:val="Heading1"/>
      </w:pPr>
      <w:bookmarkStart w:id="4" w:name="O_751794"/>
      <w:bookmarkEnd w:id="4"/>
      <w:r w:rsidRPr="00605504">
        <w:t>Competency Field</w:t>
      </w:r>
    </w:p>
    <w:p w:rsidR="00D676C6" w:rsidP="00D676C6">
      <w:pPr>
        <w:pStyle w:val="BodyText"/>
      </w:pPr>
      <w:r w:rsidRPr="00605504">
        <w:t>F – Safety Management</w:t>
      </w:r>
    </w:p>
    <w:p w:rsidR="00000000" w:rsidRPr="00605504" w:rsidP="00605504">
      <w:pPr>
        <w:pStyle w:val="Heading1"/>
      </w:pPr>
      <w:bookmarkStart w:id="5" w:name="O_751795"/>
      <w:bookmarkEnd w:id="5"/>
      <w:r w:rsidRPr="00605504">
        <w:t>Unit Sector</w:t>
      </w:r>
    </w:p>
    <w:p w:rsidR="00D676C6" w:rsidP="00D676C6">
      <w:pPr>
        <w:pStyle w:val="BodyText"/>
      </w:pPr>
      <w:r w:rsidRPr="00605504">
        <w:t>Not applicable.</w:t>
      </w:r>
    </w:p>
    <w:p w:rsidR="00000000" w:rsidRPr="00605504" w:rsidP="00605504">
      <w:pPr>
        <w:pStyle w:val="Heading1"/>
      </w:pPr>
      <w:bookmarkStart w:id="6" w:name="O_751796"/>
      <w:bookmarkEnd w:id="6"/>
      <w:r w:rsidRPr="0060550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D676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Performance criteria describe the performance needed to demonstrate achievement of the element.</w:t>
            </w:r>
          </w:p>
        </w:tc>
      </w:tr>
      <w:tr w:rsidTr="00D676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504" w:rsidP="00605504">
            <w:pPr>
              <w:pStyle w:val="BodyText"/>
            </w:pPr>
            <w:r w:rsidRPr="0060550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rPr>
                <w:rStyle w:val="SpecialBold"/>
              </w:rPr>
              <w:t xml:space="preserve">Take up lookout </w:t>
            </w:r>
            <w:r w:rsidRPr="00605504">
              <w:rPr>
                <w:rStyle w:val="SpecialBold"/>
              </w:rPr>
              <w:t>position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Dang</w:t>
            </w:r>
            <w:r w:rsidRPr="00605504">
              <w:t>er zone is safely accessed in accordance with workplace procedures</w:t>
            </w:r>
          </w:p>
        </w:tc>
      </w:tr>
      <w:tr w:rsidTr="00D676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Location of lookout position is confirmed in accordance with workplace procedures</w:t>
            </w:r>
          </w:p>
        </w:tc>
      </w:tr>
      <w:tr w:rsidTr="00D676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Sighting distance of rail traffic is calculated in accordance with workplace procedures</w:t>
            </w:r>
          </w:p>
        </w:tc>
      </w:tr>
      <w:tr w:rsidTr="00D676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Unsafe and/or ineffective lookout positions are identified and reported in accordance with workplace procedures</w:t>
            </w:r>
          </w:p>
        </w:tc>
      </w:tr>
      <w:tr w:rsidTr="00D676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Audible warning equipment is tested as required</w:t>
            </w:r>
          </w:p>
        </w:tc>
      </w:tr>
      <w:tr w:rsidTr="00D676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Changed local conditions are identified and impact on lookout position is dete</w:t>
            </w:r>
            <w:r w:rsidRPr="00605504">
              <w:t>rmined</w:t>
            </w:r>
          </w:p>
        </w:tc>
      </w:tr>
      <w:tr w:rsidTr="00D676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Effectiveness of lookout placement and method of communicating rail traffic movements is tested and confirmed</w:t>
            </w:r>
          </w:p>
        </w:tc>
      </w:tr>
      <w:tr w:rsidTr="00D676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504" w:rsidP="00605504">
            <w:pPr>
              <w:pStyle w:val="BodyText"/>
            </w:pPr>
            <w:r w:rsidRPr="0060550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rPr>
                <w:rStyle w:val="SpecialBold"/>
              </w:rPr>
              <w:t>Conduct lookout duties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Vigilance is maintained at all times</w:t>
            </w:r>
          </w:p>
        </w:tc>
      </w:tr>
      <w:tr w:rsidTr="00D676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Approach of rail traffic is communicated using agreed methodology in accordance with workplace procedures</w:t>
            </w:r>
          </w:p>
        </w:tc>
      </w:tr>
      <w:tr w:rsidTr="00D676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 xml:space="preserve">Hand signals are used to confirm safe conditions to rail traffic in accordance with workplace procedures </w:t>
            </w:r>
          </w:p>
        </w:tc>
      </w:tr>
      <w:tr w:rsidTr="00D676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504" w:rsidP="00605504">
            <w:pPr>
              <w:pStyle w:val="BodyText"/>
            </w:pPr>
            <w:r w:rsidRPr="0060550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rPr>
                <w:rStyle w:val="SpecialBold"/>
              </w:rPr>
              <w:t>Take action in unsafe situations or emergencies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Unsafe situations and/or emergencies are identified, and appropriate action is taken to minimise risk in accordance with workplace procedures</w:t>
            </w:r>
          </w:p>
        </w:tc>
      </w:tr>
      <w:tr w:rsidTr="00D676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504">
            <w:pPr>
              <w:pStyle w:val="BodyText"/>
              <w:rPr>
                <w:lang w:val="en-NZ"/>
              </w:rPr>
            </w:pPr>
            <w:r w:rsidRPr="0060550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504" w:rsidP="00605504">
            <w:pPr>
              <w:pStyle w:val="BodyText"/>
            </w:pPr>
            <w:r w:rsidRPr="00605504">
              <w:t xml:space="preserve">Emergencies and incidents are recorded and reported to </w:t>
            </w:r>
            <w:r w:rsidRPr="00605504">
              <w:t>relevant personnel in accordance with workplace procedures</w:t>
            </w:r>
          </w:p>
        </w:tc>
      </w:tr>
    </w:tbl>
    <w:p w:rsidR="00D676C6" w:rsidP="00605504">
      <w:pPr>
        <w:pStyle w:val="BodyText"/>
      </w:pPr>
    </w:p>
    <w:p w:rsidR="00D676C6" w:rsidP="00605504">
      <w:pPr>
        <w:pStyle w:val="BodyText"/>
      </w:pPr>
    </w:p>
    <w:p w:rsidR="00000000" w:rsidRPr="00605504" w:rsidP="00605504">
      <w:pPr>
        <w:pStyle w:val="Heading1"/>
      </w:pPr>
      <w:bookmarkStart w:id="7" w:name="O_751797"/>
      <w:bookmarkEnd w:id="7"/>
      <w:r w:rsidRPr="00605504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055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504" w:rsidP="00605504">
            <w:pPr>
              <w:pStyle w:val="BodyText"/>
            </w:pPr>
            <w:r w:rsidRPr="00605504">
              <w:t>Foundation skills essential to performance are explicit in the performance criteria of this unit of competency.</w:t>
            </w:r>
          </w:p>
        </w:tc>
      </w:tr>
    </w:tbl>
    <w:p w:rsidR="00D676C6" w:rsidP="00605504">
      <w:pPr>
        <w:pStyle w:val="BodyText"/>
      </w:pPr>
    </w:p>
    <w:p w:rsidR="00D676C6" w:rsidP="00605504">
      <w:pPr>
        <w:pStyle w:val="BodyText"/>
      </w:pPr>
    </w:p>
    <w:p w:rsidR="00000000" w:rsidRPr="00605504" w:rsidP="00605504">
      <w:pPr>
        <w:pStyle w:val="Heading1"/>
      </w:pPr>
      <w:bookmarkStart w:id="8" w:name="O_751798"/>
      <w:bookmarkEnd w:id="8"/>
      <w:r w:rsidRPr="00605504">
        <w:t>Range of Conditions</w:t>
      </w:r>
    </w:p>
    <w:p w:rsidR="00000000" w:rsidRPr="00605504" w:rsidP="00D676C6">
      <w:pPr>
        <w:pStyle w:val="BodyText"/>
      </w:pPr>
      <w:r w:rsidRPr="00605504">
        <w:t>Range is restricted to essential operating conditions and any other variables essential to the work environment.</w:t>
      </w:r>
    </w:p>
    <w:p w:rsidR="00D676C6" w:rsidP="00D676C6">
      <w:pPr>
        <w:pStyle w:val="BodyText"/>
      </w:pPr>
      <w:r w:rsidRPr="00605504">
        <w:t>Non-essential conditions can be found in the Companion Volume Implementation Guide.</w:t>
      </w:r>
    </w:p>
    <w:p w:rsidR="00000000" w:rsidRPr="00605504" w:rsidP="00605504">
      <w:pPr>
        <w:pStyle w:val="Heading1"/>
      </w:pPr>
      <w:bookmarkStart w:id="9" w:name="O_751799"/>
      <w:bookmarkEnd w:id="9"/>
      <w:r w:rsidRPr="00605504">
        <w:t>Unit Mapping Information</w:t>
      </w:r>
    </w:p>
    <w:p w:rsidR="00D676C6" w:rsidP="00D676C6">
      <w:pPr>
        <w:pStyle w:val="BodyText"/>
      </w:pPr>
      <w:r w:rsidRPr="00605504">
        <w:t>This unit replac</w:t>
      </w:r>
      <w:r w:rsidRPr="00605504">
        <w:t xml:space="preserve">es and is equivalent to TLIF2081B Perform lookout duties. </w:t>
      </w:r>
    </w:p>
    <w:p w:rsidR="00000000" w:rsidRPr="00605504" w:rsidP="00605504">
      <w:pPr>
        <w:pStyle w:val="Heading1"/>
      </w:pPr>
      <w:bookmarkStart w:id="10" w:name="O_751806"/>
      <w:bookmarkEnd w:id="10"/>
      <w:r w:rsidRPr="00605504">
        <w:t>Links</w:t>
      </w:r>
    </w:p>
    <w:p w:rsidR="00000000" w:rsidRPr="00605504" w:rsidP="00D676C6">
      <w:pPr>
        <w:pStyle w:val="BodyText"/>
      </w:pPr>
      <w:r w:rsidRPr="006055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7365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05504" w:rsidP="00605504"/>
    <w:sectPr w:rsidSect="006055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504" w:rsidRPr="00D676C6" w:rsidP="00D67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6C6" w:rsidP="00605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76C6" w:rsidP="00605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76C6" w:rsidP="00605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504" w:rsidRPr="00D676C6" w:rsidP="00D67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6C6" w:rsidRPr="002D2AF8" w:rsidP="00605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TLIF2081 Perform lookout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D676C6" w:rsidP="00605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504"/>
  </w:style>
  <w:style w:type="character" w:customStyle="1" w:styleId="Heading1Char">
    <w:name w:val="Heading 1 Char"/>
    <w:basedOn w:val="DefaultParagraphFont"/>
    <w:link w:val="Heading1"/>
    <w:rsid w:val="00605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5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5504"/>
    <w:rPr>
      <w:b/>
      <w:spacing w:val="0"/>
    </w:rPr>
  </w:style>
  <w:style w:type="paragraph" w:customStyle="1" w:styleId="SuperHeading">
    <w:name w:val="SuperHeading"/>
    <w:basedOn w:val="Normal"/>
    <w:rsid w:val="00605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5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5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5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55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5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5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55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5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504"/>
    <w:rPr>
      <w:i/>
    </w:rPr>
  </w:style>
  <w:style w:type="paragraph" w:styleId="Caption">
    <w:name w:val="caption"/>
    <w:basedOn w:val="BodyText"/>
    <w:next w:val="Normal"/>
    <w:qFormat/>
    <w:rsid w:val="00605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504"/>
  </w:style>
  <w:style w:type="paragraph" w:styleId="TableofFigures">
    <w:name w:val="table of figures"/>
    <w:basedOn w:val="Normal"/>
    <w:next w:val="Normal"/>
    <w:semiHidden/>
    <w:rsid w:val="00605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5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5504"/>
    <w:rPr>
      <w:rFonts w:ascii="Wingdings" w:hAnsi="Wingdings"/>
    </w:rPr>
  </w:style>
  <w:style w:type="paragraph" w:customStyle="1" w:styleId="TableHeading">
    <w:name w:val="Table Heading"/>
    <w:basedOn w:val="HeadingBase"/>
    <w:rsid w:val="00605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504"/>
    <w:rPr>
      <w:color w:val="0033CC"/>
      <w:u w:val="none"/>
    </w:rPr>
  </w:style>
  <w:style w:type="paragraph" w:customStyle="1" w:styleId="BodyTextRight">
    <w:name w:val="Body Text Right"/>
    <w:basedOn w:val="BodyText"/>
    <w:rsid w:val="00605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5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504"/>
    <w:rPr>
      <w:sz w:val="32"/>
    </w:rPr>
  </w:style>
  <w:style w:type="paragraph" w:customStyle="1" w:styleId="HeadingProcedure">
    <w:name w:val="Heading Procedure"/>
    <w:basedOn w:val="HeadingBase"/>
    <w:next w:val="Normal"/>
    <w:rsid w:val="00605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504"/>
    <w:pPr>
      <w:spacing w:before="60" w:after="60"/>
    </w:pPr>
  </w:style>
  <w:style w:type="paragraph" w:styleId="ListContinue">
    <w:name w:val="List Continue"/>
    <w:basedOn w:val="List"/>
    <w:rsid w:val="00605504"/>
    <w:pPr>
      <w:ind w:firstLine="0"/>
    </w:pPr>
  </w:style>
  <w:style w:type="paragraph" w:customStyle="1" w:styleId="ListNote">
    <w:name w:val="List Note"/>
    <w:basedOn w:val="List"/>
    <w:rsid w:val="00605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504"/>
    <w:rPr>
      <w:rFonts w:ascii="Courier New" w:hAnsi="Courier New"/>
    </w:rPr>
  </w:style>
  <w:style w:type="paragraph" w:customStyle="1" w:styleId="NoteBullet">
    <w:name w:val="Note Bullet"/>
    <w:basedOn w:val="Note"/>
    <w:rsid w:val="00605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5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5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504"/>
    <w:rPr>
      <w:b/>
      <w:smallCaps/>
    </w:rPr>
  </w:style>
  <w:style w:type="paragraph" w:customStyle="1" w:styleId="TableListNumber">
    <w:name w:val="Table List Number"/>
    <w:basedOn w:val="ListNumber"/>
    <w:rsid w:val="00605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504"/>
    <w:pPr>
      <w:numPr>
        <w:numId w:val="7"/>
      </w:numPr>
    </w:pPr>
  </w:style>
  <w:style w:type="paragraph" w:customStyle="1" w:styleId="ListAlpha2">
    <w:name w:val="List Alpha 2"/>
    <w:basedOn w:val="List2"/>
    <w:rsid w:val="00605504"/>
    <w:pPr>
      <w:numPr>
        <w:numId w:val="6"/>
      </w:numPr>
    </w:pPr>
  </w:style>
  <w:style w:type="paragraph" w:styleId="List2">
    <w:name w:val="List 2"/>
    <w:basedOn w:val="BodyText"/>
    <w:rsid w:val="00605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5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5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5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5504"/>
    <w:pPr>
      <w:numPr>
        <w:numId w:val="2"/>
      </w:numPr>
    </w:pPr>
  </w:style>
  <w:style w:type="paragraph" w:styleId="ListContinue2">
    <w:name w:val="List Continue 2"/>
    <w:basedOn w:val="List2"/>
    <w:rsid w:val="00605504"/>
    <w:pPr>
      <w:ind w:firstLine="0"/>
    </w:pPr>
  </w:style>
  <w:style w:type="paragraph" w:styleId="ListContinue3">
    <w:name w:val="List Continue 3"/>
    <w:basedOn w:val="List3"/>
    <w:rsid w:val="00605504"/>
    <w:pPr>
      <w:ind w:left="1021" w:firstLine="0"/>
    </w:pPr>
  </w:style>
  <w:style w:type="paragraph" w:styleId="ListContinue4">
    <w:name w:val="List Continue 4"/>
    <w:basedOn w:val="List4"/>
    <w:rsid w:val="00605504"/>
    <w:pPr>
      <w:ind w:firstLine="0"/>
    </w:pPr>
  </w:style>
  <w:style w:type="paragraph" w:styleId="ListContinue5">
    <w:name w:val="List Continue 5"/>
    <w:basedOn w:val="List5"/>
    <w:rsid w:val="00605504"/>
    <w:pPr>
      <w:ind w:firstLine="0"/>
    </w:pPr>
  </w:style>
  <w:style w:type="paragraph" w:styleId="ListNumber3">
    <w:name w:val="List Number 3"/>
    <w:basedOn w:val="List3"/>
    <w:rsid w:val="00605504"/>
    <w:pPr>
      <w:numPr>
        <w:numId w:val="3"/>
      </w:numPr>
    </w:pPr>
  </w:style>
  <w:style w:type="paragraph" w:styleId="ListNumber4">
    <w:name w:val="List Number 4"/>
    <w:basedOn w:val="List4"/>
    <w:rsid w:val="00605504"/>
    <w:pPr>
      <w:numPr>
        <w:numId w:val="4"/>
      </w:numPr>
    </w:pPr>
  </w:style>
  <w:style w:type="paragraph" w:styleId="ListNumber5">
    <w:name w:val="List Number 5"/>
    <w:basedOn w:val="List5"/>
    <w:rsid w:val="00605504"/>
    <w:pPr>
      <w:numPr>
        <w:numId w:val="5"/>
      </w:numPr>
    </w:pPr>
  </w:style>
  <w:style w:type="paragraph" w:styleId="BlockText">
    <w:name w:val="Block Text"/>
    <w:basedOn w:val="Normal"/>
    <w:rsid w:val="00605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504"/>
    <w:rPr>
      <w:sz w:val="16"/>
      <w:vertAlign w:val="superscript"/>
    </w:rPr>
  </w:style>
  <w:style w:type="character" w:customStyle="1" w:styleId="Symbols">
    <w:name w:val="Symbols"/>
    <w:basedOn w:val="DefaultParagraphFont"/>
    <w:rsid w:val="00605504"/>
    <w:rPr>
      <w:rFonts w:ascii="Symbol" w:hAnsi="Symbol"/>
    </w:rPr>
  </w:style>
  <w:style w:type="character" w:customStyle="1" w:styleId="MenuOptions">
    <w:name w:val="Menu Options"/>
    <w:basedOn w:val="DefaultParagraphFont"/>
    <w:rsid w:val="00605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504"/>
    <w:rPr>
      <w:b/>
    </w:rPr>
  </w:style>
  <w:style w:type="character" w:customStyle="1" w:styleId="Underlined">
    <w:name w:val="Underlined"/>
    <w:basedOn w:val="DefaultParagraphFont"/>
    <w:rsid w:val="00605504"/>
    <w:rPr>
      <w:u w:val="single"/>
    </w:rPr>
  </w:style>
  <w:style w:type="paragraph" w:customStyle="1" w:styleId="TableBodyTextRight">
    <w:name w:val="Table Body Text Right"/>
    <w:basedOn w:val="TableBodyText"/>
    <w:rsid w:val="00605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504"/>
    <w:rPr>
      <w:sz w:val="18"/>
    </w:rPr>
  </w:style>
  <w:style w:type="paragraph" w:customStyle="1" w:styleId="BodySmallRight">
    <w:name w:val="Body Small Right"/>
    <w:basedOn w:val="BodyTextRight"/>
    <w:rsid w:val="00605504"/>
    <w:rPr>
      <w:sz w:val="18"/>
      <w:szCs w:val="18"/>
    </w:rPr>
  </w:style>
  <w:style w:type="paragraph" w:customStyle="1" w:styleId="MarginEdition">
    <w:name w:val="Margin Edition"/>
    <w:basedOn w:val="MarginNote"/>
    <w:rsid w:val="00605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504"/>
    <w:rPr>
      <w:sz w:val="2"/>
      <w:szCs w:val="2"/>
    </w:rPr>
  </w:style>
  <w:style w:type="character" w:customStyle="1" w:styleId="Small">
    <w:name w:val="Small"/>
    <w:basedOn w:val="DefaultParagraphFont"/>
    <w:rsid w:val="00605504"/>
    <w:rPr>
      <w:sz w:val="16"/>
    </w:rPr>
  </w:style>
  <w:style w:type="paragraph" w:customStyle="1" w:styleId="WideTable">
    <w:name w:val="Wide Table"/>
    <w:basedOn w:val="Normal"/>
    <w:rsid w:val="00605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504"/>
  </w:style>
  <w:style w:type="paragraph" w:styleId="Quote">
    <w:name w:val="Quote"/>
    <w:basedOn w:val="Heading1"/>
    <w:link w:val="QuoteChar"/>
    <w:qFormat/>
    <w:rsid w:val="00605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504"/>
    <w:pPr>
      <w:pageBreakBefore/>
    </w:pPr>
  </w:style>
  <w:style w:type="paragraph" w:customStyle="1" w:styleId="Border">
    <w:name w:val="Border"/>
    <w:basedOn w:val="Normal"/>
    <w:qFormat/>
    <w:rsid w:val="00605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504"/>
    <w:rPr>
      <w:u w:val="single"/>
    </w:rPr>
  </w:style>
  <w:style w:type="character" w:customStyle="1" w:styleId="BoldandItalics">
    <w:name w:val="Bold and Italics"/>
    <w:qFormat/>
    <w:rsid w:val="00605504"/>
    <w:rPr>
      <w:b/>
      <w:i/>
      <w:u w:val="none"/>
    </w:rPr>
  </w:style>
  <w:style w:type="paragraph" w:styleId="BalloonText">
    <w:name w:val="Balloon Text"/>
    <w:basedOn w:val="Normal"/>
    <w:link w:val="BalloonTextChar"/>
    <w:rsid w:val="00605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504"/>
    <w:pPr>
      <w:spacing w:before="0" w:after="0"/>
    </w:pPr>
  </w:style>
  <w:style w:type="paragraph" w:customStyle="1" w:styleId="BodyTextBold">
    <w:name w:val="Body Text Bold"/>
    <w:basedOn w:val="BodyText"/>
    <w:qFormat/>
    <w:rsid w:val="00605504"/>
    <w:rPr>
      <w:b/>
    </w:rPr>
  </w:style>
  <w:style w:type="character" w:styleId="Hyperlink">
    <w:name w:val="Hyperlink"/>
    <w:basedOn w:val="DefaultParagraphFont"/>
    <w:uiPriority w:val="99"/>
    <w:unhideWhenUsed/>
    <w:rsid w:val="00D67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2828</Characters>
  <Application>Microsoft Office Word</Application>
  <DocSecurity>0</DocSecurity>
  <Lines>117</Lines>
  <Paragraphs>72</Paragraphs>
  <ScaleCrop>false</ScaleCrop>
  <Company>Author-it Software Corporation Ltd.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TLIF2081 Perform lookout duties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2021-11-22T00:46:00Z</dcterms:created>
  <dcterms:modified xsi:type="dcterms:W3CDTF">2021-11-22T00:46:00Z</dcterms:modified>
</cp:coreProperties>
</file>