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5EBA" w:rsidP="00C65E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TLIF2072 Comply with safety and security procedures</w:t>
      </w:r>
      <w:r>
        <w:fldChar w:fldCharType="end"/>
      </w:r>
    </w:p>
    <w:p w:rsidR="00C65EBA" w:rsidP="00C65EBA">
      <w:pPr>
        <w:pStyle w:val="Version"/>
        <w:sectPr w:rsidSect="003B7E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EEA" w:rsidP="003B7EEA">
      <w:pPr>
        <w:pStyle w:val="SuperHeading"/>
      </w:pPr>
      <w:r w:rsidRPr="003B7EEA">
        <w:t>TLIF2072 Comply with safety and security procedures</w:t>
      </w:r>
    </w:p>
    <w:p w:rsidR="00000000" w:rsidRPr="003B7EEA" w:rsidP="003B7EEA">
      <w:pPr>
        <w:pStyle w:val="Heading1"/>
      </w:pPr>
      <w:bookmarkStart w:id="1" w:name="O_844691"/>
      <w:bookmarkEnd w:id="1"/>
      <w:r w:rsidRPr="003B7EEA">
        <w:t>Modification History</w:t>
      </w:r>
    </w:p>
    <w:p w:rsidR="00C65EBA" w:rsidP="00C65EBA">
      <w:pPr>
        <w:pStyle w:val="BodyText"/>
      </w:pPr>
      <w:r w:rsidRPr="003B7EEA">
        <w:t>Release 1. This is the first release of this unit of competency in the TLI Transport and Logistics Training Package.</w:t>
      </w:r>
    </w:p>
    <w:p w:rsidR="00000000" w:rsidRPr="003B7EEA" w:rsidP="003B7EEA">
      <w:pPr>
        <w:pStyle w:val="Heading1"/>
      </w:pPr>
      <w:bookmarkStart w:id="2" w:name="O_844692"/>
      <w:bookmarkEnd w:id="2"/>
      <w:r w:rsidRPr="003B7EE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B7EE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EEA" w:rsidP="003B7EEA">
            <w:pPr>
              <w:pStyle w:val="BodyText"/>
            </w:pPr>
            <w:r w:rsidRPr="003B7EEA">
              <w:t xml:space="preserve">This unit involves the skills and knowledge required to work safely in the taxi </w:t>
            </w:r>
            <w:r w:rsidRPr="003B7EEA">
              <w:t xml:space="preserve">industry by following and applying work health and safety (WHS)/occupational health and safety (OHS) and security procedures when carrying out taxi work activities. Work is undertaken in accordance with relevant WHS/OHS regulations and procedures. </w:t>
            </w:r>
          </w:p>
          <w:p w:rsidR="00000000" w:rsidRPr="003B7EEA" w:rsidP="003B7EEA">
            <w:pPr>
              <w:pStyle w:val="BodyText"/>
            </w:pPr>
            <w:r w:rsidRPr="003B7EEA">
              <w:t>It incl</w:t>
            </w:r>
            <w:r w:rsidRPr="003B7EEA">
              <w:t>udes identifying and following workplace procedures for safety/security and accident/emergency situations, and identifying, minimising and managing fatigue.</w:t>
            </w:r>
          </w:p>
          <w:p w:rsidR="00000000" w:rsidRPr="003B7EEA" w:rsidP="003B7EEA">
            <w:pPr>
              <w:pStyle w:val="BodyText"/>
            </w:pPr>
            <w:r w:rsidRPr="003B7EEA">
              <w:t>Work is performed with limited or no supervision and with full accountability and responsibility fo</w:t>
            </w:r>
            <w:r w:rsidRPr="003B7EEA">
              <w:t>r self and others in achieving the prescribed outcomes.</w:t>
            </w:r>
          </w:p>
          <w:p w:rsidR="00000000" w:rsidRPr="003B7EEA" w:rsidP="003B7EEA">
            <w:pPr>
              <w:pStyle w:val="BodyText"/>
            </w:pPr>
            <w:r w:rsidRPr="003B7EEA">
              <w:t>This unit meets part of the certification requirements for obtaining taxi driver accreditation. As requirements may vary between states and territories, people seeking taxi accreditation should contac</w:t>
            </w:r>
            <w:r w:rsidRPr="003B7EEA">
              <w:t>t their state/territory taxi regulator.</w:t>
            </w:r>
          </w:p>
        </w:tc>
      </w:tr>
    </w:tbl>
    <w:p w:rsidR="00C65EBA" w:rsidP="003B7EEA">
      <w:pPr>
        <w:pStyle w:val="BodyText"/>
      </w:pPr>
    </w:p>
    <w:p w:rsidR="00C65EBA" w:rsidP="003B7EEA">
      <w:pPr>
        <w:pStyle w:val="BodyText"/>
      </w:pPr>
    </w:p>
    <w:p w:rsidR="00000000" w:rsidRPr="003B7EEA" w:rsidP="003B7EEA">
      <w:pPr>
        <w:pStyle w:val="Heading1"/>
      </w:pPr>
      <w:bookmarkStart w:id="3" w:name="O_844693"/>
      <w:bookmarkEnd w:id="3"/>
      <w:r w:rsidRPr="003B7EEA">
        <w:t>Pre-requisite Unit</w:t>
      </w:r>
    </w:p>
    <w:p w:rsidR="00C65EBA" w:rsidP="00C65EBA">
      <w:pPr>
        <w:pStyle w:val="BodyText"/>
      </w:pPr>
      <w:r w:rsidRPr="003B7EEA">
        <w:t>Not applicable.</w:t>
      </w:r>
    </w:p>
    <w:p w:rsidR="00000000" w:rsidRPr="003B7EEA" w:rsidP="003B7EEA">
      <w:pPr>
        <w:pStyle w:val="Heading1"/>
      </w:pPr>
      <w:bookmarkStart w:id="4" w:name="O_844694"/>
      <w:bookmarkEnd w:id="4"/>
      <w:r w:rsidRPr="003B7EEA">
        <w:t>Competency Field</w:t>
      </w:r>
    </w:p>
    <w:p w:rsidR="00C65EBA" w:rsidP="00C65EBA">
      <w:pPr>
        <w:pStyle w:val="BodyText"/>
      </w:pPr>
      <w:r w:rsidRPr="003B7EEA">
        <w:t>F – Safety Management</w:t>
      </w:r>
    </w:p>
    <w:p w:rsidR="00000000" w:rsidRPr="003B7EEA" w:rsidP="003B7EEA">
      <w:pPr>
        <w:pStyle w:val="Heading1"/>
      </w:pPr>
      <w:bookmarkStart w:id="5" w:name="O_844695"/>
      <w:bookmarkEnd w:id="5"/>
      <w:r w:rsidRPr="003B7EEA">
        <w:t>Unit Sector</w:t>
      </w:r>
    </w:p>
    <w:p w:rsidR="00C65EBA" w:rsidP="00C65EBA">
      <w:pPr>
        <w:pStyle w:val="BodyText"/>
      </w:pPr>
      <w:r w:rsidRPr="003B7EEA">
        <w:t>Not applicable.</w:t>
      </w:r>
    </w:p>
    <w:p w:rsidR="00000000" w:rsidRPr="003B7EEA" w:rsidP="003B7EEA">
      <w:pPr>
        <w:pStyle w:val="Heading1"/>
      </w:pPr>
      <w:bookmarkStart w:id="6" w:name="O_844696"/>
      <w:bookmarkEnd w:id="6"/>
      <w:r w:rsidRPr="003B7EE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C65E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EEA" w:rsidP="003B7EEA">
            <w:pPr>
              <w:pStyle w:val="BodyText"/>
            </w:pPr>
            <w:r w:rsidRPr="003B7EE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rPr>
                <w:rStyle w:val="SpecialBold"/>
              </w:rPr>
              <w:t>PERFORMANCE CRITERIA</w:t>
            </w:r>
          </w:p>
        </w:tc>
      </w:tr>
      <w:tr w:rsidTr="00C65E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Performance criteria describe the performance needed to demonstrate achievement of the element.</w:t>
            </w:r>
          </w:p>
        </w:tc>
      </w:tr>
      <w:tr w:rsidTr="00C65E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EEA" w:rsidP="003B7EEA">
            <w:pPr>
              <w:pStyle w:val="BodyText"/>
            </w:pPr>
            <w:r w:rsidRPr="003B7EE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rPr>
                <w:rStyle w:val="SpecialBold"/>
              </w:rPr>
              <w:t>Follow procedures for safety and security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Procedures for WHS/OHS and securit</w:t>
            </w:r>
            <w:r w:rsidRPr="003B7EEA">
              <w:t>y are identified and clarified as required</w:t>
            </w:r>
          </w:p>
        </w:tc>
      </w:tr>
      <w:tr w:rsidTr="00C65E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Safe work practices are identified and followed</w:t>
            </w:r>
          </w:p>
        </w:tc>
      </w:tr>
      <w:tr w:rsidTr="00C65E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 xml:space="preserve">Breaches of safety and security and hazards are identified and appropriate action is taken to minimise or eliminate risk to self, others, vehicle </w:t>
            </w:r>
            <w:r w:rsidRPr="003B7EEA">
              <w:t>and vehicle equipment</w:t>
            </w:r>
          </w:p>
        </w:tc>
      </w:tr>
      <w:tr w:rsidTr="00C65E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Taxi security system features and functions are identified and operated within legal and workplace parameters in accordance with jurisdictional regulations</w:t>
            </w:r>
          </w:p>
        </w:tc>
      </w:tr>
      <w:tr w:rsidTr="00C65E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EEA" w:rsidP="003B7EEA">
            <w:pPr>
              <w:pStyle w:val="BodyText"/>
            </w:pPr>
            <w:r w:rsidRPr="003B7EE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rPr>
                <w:rStyle w:val="SpecialBold"/>
              </w:rPr>
              <w:t>Follow procedures for accident/emergency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Emergency and potential emergency situations are recognised promptly and required actions are determined and taken within the scope of own duty of care responsibility</w:t>
            </w:r>
          </w:p>
        </w:tc>
      </w:tr>
      <w:tr w:rsidTr="00C65E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Procedures for dealing with accidents, fire and emergencies are identified and fol</w:t>
            </w:r>
            <w:r w:rsidRPr="003B7EEA">
              <w:t>lowed</w:t>
            </w:r>
          </w:p>
        </w:tc>
      </w:tr>
      <w:tr w:rsidTr="00C65E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Assistance from taxi network and/or other authorities is sought as required</w:t>
            </w:r>
          </w:p>
        </w:tc>
      </w:tr>
      <w:tr w:rsidTr="00C65E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Details of emergency situations are reported in accordance with workplace, industry and regulatory policies and procedures</w:t>
            </w:r>
          </w:p>
        </w:tc>
      </w:tr>
      <w:tr w:rsidTr="00C65E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Support services are identified for an incident or accident</w:t>
            </w:r>
          </w:p>
        </w:tc>
      </w:tr>
      <w:tr w:rsidTr="00C65E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EEA" w:rsidP="003B7EEA">
            <w:pPr>
              <w:pStyle w:val="BodyText"/>
            </w:pPr>
            <w:r w:rsidRPr="003B7EE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rPr>
                <w:rStyle w:val="SpecialBold"/>
              </w:rPr>
              <w:t>Identify, report and respond to threats of physical violence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Security equipment is operated within legal and workplace parameters in accordance with jurisdictional regulations</w:t>
            </w:r>
          </w:p>
        </w:tc>
      </w:tr>
      <w:tr w:rsidTr="00C65E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Potential circumstances for difficult customer or other road user behaviour are accurately assessed and conflict resolution strategies are used</w:t>
            </w:r>
          </w:p>
        </w:tc>
      </w:tr>
      <w:tr w:rsidTr="00C65E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Procedures are followed to minimise escalation of conflict, manage the situation and ensure personal safe</w:t>
            </w:r>
            <w:r w:rsidRPr="003B7EEA">
              <w:t>ty</w:t>
            </w:r>
          </w:p>
        </w:tc>
      </w:tr>
      <w:tr w:rsidTr="00C65E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Assistance is sought from others including external support staff as required</w:t>
            </w:r>
          </w:p>
        </w:tc>
      </w:tr>
      <w:tr w:rsidTr="00C65E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 xml:space="preserve">Incidents are reported using appropriate document format, in </w:t>
            </w:r>
            <w:r w:rsidRPr="003B7EEA">
              <w:t>accordance with workplace policies and procedures</w:t>
            </w:r>
          </w:p>
        </w:tc>
      </w:tr>
      <w:tr w:rsidTr="00C65E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Any follow-up action is implemented in accordance with the appropriate workplace rules, regulations and guidelines</w:t>
            </w:r>
          </w:p>
        </w:tc>
      </w:tr>
      <w:tr w:rsidTr="00C65E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EEA" w:rsidP="003B7EEA">
            <w:pPr>
              <w:pStyle w:val="BodyText"/>
            </w:pPr>
            <w:r w:rsidRPr="003B7EEA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rPr>
                <w:rStyle w:val="SpecialBold"/>
              </w:rPr>
              <w:t>Identify and implement strategies to minimise and manage fatigue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Potential causes of fatigue and its effects on driver and road safety</w:t>
            </w:r>
            <w:r w:rsidRPr="003B7EEA">
              <w:t xml:space="preserve"> are identified</w:t>
            </w:r>
          </w:p>
        </w:tc>
      </w:tr>
      <w:tr w:rsidTr="00C65E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EEA">
            <w:pPr>
              <w:pStyle w:val="BodyText"/>
              <w:rPr>
                <w:lang w:val="en-NZ"/>
              </w:rPr>
            </w:pPr>
            <w:r w:rsidRPr="003B7EE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EEA" w:rsidP="003B7EEA">
            <w:pPr>
              <w:pStyle w:val="BodyText"/>
            </w:pPr>
            <w:r w:rsidRPr="003B7EEA">
              <w:t>Personal warning signs of fatigue are recognised and appropriate action to manage fatigue is taken</w:t>
            </w:r>
          </w:p>
        </w:tc>
      </w:tr>
    </w:tbl>
    <w:p w:rsidR="00C65EBA" w:rsidP="003B7EEA">
      <w:pPr>
        <w:pStyle w:val="BodyText"/>
      </w:pPr>
    </w:p>
    <w:p w:rsidR="00C65EBA" w:rsidP="003B7EEA">
      <w:pPr>
        <w:pStyle w:val="BodyText"/>
      </w:pPr>
    </w:p>
    <w:p w:rsidR="00000000" w:rsidRPr="003B7EEA" w:rsidP="003B7EEA">
      <w:pPr>
        <w:pStyle w:val="Heading1"/>
      </w:pPr>
      <w:bookmarkStart w:id="7" w:name="O_844697"/>
      <w:bookmarkEnd w:id="7"/>
      <w:r w:rsidRPr="003B7EEA">
        <w:t>Foundation Skills</w:t>
      </w:r>
    </w:p>
    <w:p w:rsidR="00C65EBA" w:rsidP="00C65EBA">
      <w:pPr>
        <w:pStyle w:val="BodyText"/>
      </w:pPr>
      <w:r w:rsidRPr="003B7EEA">
        <w:t>Foundation skills essential to performance are explicit in the performance criteria of this unit of competency.</w:t>
      </w:r>
    </w:p>
    <w:p w:rsidR="00000000" w:rsidRPr="003B7EEA" w:rsidP="003B7EEA">
      <w:pPr>
        <w:pStyle w:val="Heading1"/>
      </w:pPr>
      <w:bookmarkStart w:id="8" w:name="O_844698"/>
      <w:bookmarkEnd w:id="8"/>
      <w:r w:rsidRPr="003B7EEA">
        <w:t>Range of Conditions</w:t>
      </w:r>
    </w:p>
    <w:p w:rsidR="00000000" w:rsidRPr="003B7EEA" w:rsidP="00C65EBA">
      <w:pPr>
        <w:pStyle w:val="BodyText"/>
      </w:pPr>
      <w:r w:rsidRPr="003B7EEA">
        <w:t>Range is restricted to essential operating conditions and any other variables essential to the work enviro</w:t>
      </w:r>
      <w:r w:rsidRPr="003B7EEA">
        <w:t>nment.</w:t>
      </w:r>
    </w:p>
    <w:p w:rsidR="00C65EBA" w:rsidP="00C65EBA">
      <w:pPr>
        <w:pStyle w:val="BodyText"/>
      </w:pPr>
      <w:r w:rsidRPr="003B7EEA">
        <w:t>Non-essential conditions can be found in the Companion Volume Implementation Guide.</w:t>
      </w:r>
    </w:p>
    <w:p w:rsidR="00000000" w:rsidRPr="003B7EEA" w:rsidP="003B7EEA">
      <w:pPr>
        <w:pStyle w:val="Heading1"/>
      </w:pPr>
      <w:bookmarkStart w:id="9" w:name="O_844699"/>
      <w:bookmarkEnd w:id="9"/>
      <w:r w:rsidRPr="003B7EEA">
        <w:t>Unit Mapping Information</w:t>
      </w:r>
    </w:p>
    <w:p w:rsidR="00C65EBA" w:rsidP="00C65EBA">
      <w:pPr>
        <w:pStyle w:val="BodyText"/>
      </w:pPr>
      <w:r w:rsidRPr="003B7EEA">
        <w:t>This unit replaces and is equivalent to TLIF2072A Comply with safety and security procedures.</w:t>
      </w:r>
    </w:p>
    <w:p w:rsidR="00000000" w:rsidRPr="003B7EEA" w:rsidP="003B7EEA">
      <w:pPr>
        <w:pStyle w:val="Heading1"/>
      </w:pPr>
      <w:bookmarkStart w:id="10" w:name="O_844706"/>
      <w:bookmarkEnd w:id="10"/>
      <w:r w:rsidRPr="003B7EEA">
        <w:t>Links</w:t>
      </w:r>
    </w:p>
    <w:p w:rsidR="00000000" w:rsidRPr="003B7EEA" w:rsidP="00C65EBA">
      <w:pPr>
        <w:pStyle w:val="BodyText"/>
      </w:pPr>
      <w:r w:rsidRPr="003B7E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90A4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B7EEA" w:rsidP="003B7EEA"/>
    <w:sectPr w:rsidSect="003B7E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EA" w:rsidRPr="00C65EBA" w:rsidP="00C65E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EBA" w:rsidP="003B7E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5EBA" w:rsidP="003B7E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65EBA" w:rsidP="003B7E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E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EEA" w:rsidRPr="00C65EBA" w:rsidP="00C65E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EBA" w:rsidRPr="002D2AF8" w:rsidP="003B7E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TLIF2072 Comply with safety and 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C65EBA" w:rsidP="003B7E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E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E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E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E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E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E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E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E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E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E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E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EEA"/>
  </w:style>
  <w:style w:type="character" w:customStyle="1" w:styleId="Heading1Char">
    <w:name w:val="Heading 1 Char"/>
    <w:basedOn w:val="DefaultParagraphFont"/>
    <w:link w:val="Heading1"/>
    <w:rsid w:val="003B7E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E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EE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B7EEA"/>
    <w:rPr>
      <w:b/>
      <w:spacing w:val="0"/>
    </w:rPr>
  </w:style>
  <w:style w:type="paragraph" w:customStyle="1" w:styleId="SuperHeading">
    <w:name w:val="SuperHeading"/>
    <w:basedOn w:val="Normal"/>
    <w:rsid w:val="003B7E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E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E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E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E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E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E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E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E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E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E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E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E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E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E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E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E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7E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7E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7E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E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E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7E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7E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E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E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E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E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E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E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E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E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7EEA"/>
    <w:rPr>
      <w:i/>
    </w:rPr>
  </w:style>
  <w:style w:type="paragraph" w:styleId="Caption">
    <w:name w:val="caption"/>
    <w:basedOn w:val="BodyText"/>
    <w:next w:val="Normal"/>
    <w:qFormat/>
    <w:rsid w:val="003B7E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E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E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EEA"/>
  </w:style>
  <w:style w:type="paragraph" w:styleId="TableofFigures">
    <w:name w:val="table of figures"/>
    <w:basedOn w:val="Normal"/>
    <w:next w:val="Normal"/>
    <w:semiHidden/>
    <w:rsid w:val="003B7E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E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7EEA"/>
    <w:rPr>
      <w:rFonts w:ascii="Wingdings" w:hAnsi="Wingdings"/>
    </w:rPr>
  </w:style>
  <w:style w:type="paragraph" w:customStyle="1" w:styleId="TableHeading">
    <w:name w:val="Table Heading"/>
    <w:basedOn w:val="HeadingBase"/>
    <w:rsid w:val="003B7E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EEA"/>
    <w:rPr>
      <w:color w:val="0033CC"/>
      <w:u w:val="none"/>
    </w:rPr>
  </w:style>
  <w:style w:type="paragraph" w:customStyle="1" w:styleId="BodyTextRight">
    <w:name w:val="Body Text Right"/>
    <w:basedOn w:val="BodyText"/>
    <w:rsid w:val="003B7E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E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E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E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E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E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EEA"/>
    <w:rPr>
      <w:sz w:val="32"/>
    </w:rPr>
  </w:style>
  <w:style w:type="paragraph" w:customStyle="1" w:styleId="HeadingProcedure">
    <w:name w:val="Heading Procedure"/>
    <w:basedOn w:val="HeadingBase"/>
    <w:next w:val="Normal"/>
    <w:rsid w:val="003B7E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EEA"/>
    <w:pPr>
      <w:spacing w:before="60" w:after="60"/>
    </w:pPr>
  </w:style>
  <w:style w:type="paragraph" w:styleId="ListContinue">
    <w:name w:val="List Continue"/>
    <w:basedOn w:val="List"/>
    <w:rsid w:val="003B7EEA"/>
    <w:pPr>
      <w:ind w:firstLine="0"/>
    </w:pPr>
  </w:style>
  <w:style w:type="paragraph" w:customStyle="1" w:styleId="ListNote">
    <w:name w:val="List Note"/>
    <w:basedOn w:val="List"/>
    <w:rsid w:val="003B7E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E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E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EEA"/>
    <w:rPr>
      <w:rFonts w:ascii="Courier New" w:hAnsi="Courier New"/>
    </w:rPr>
  </w:style>
  <w:style w:type="paragraph" w:customStyle="1" w:styleId="NoteBullet">
    <w:name w:val="Note Bullet"/>
    <w:basedOn w:val="Note"/>
    <w:rsid w:val="003B7E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E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E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E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E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7E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E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EEA"/>
    <w:rPr>
      <w:b/>
      <w:smallCaps/>
    </w:rPr>
  </w:style>
  <w:style w:type="paragraph" w:customStyle="1" w:styleId="TableListNumber">
    <w:name w:val="Table List Number"/>
    <w:basedOn w:val="ListNumber"/>
    <w:rsid w:val="003B7E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E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EEA"/>
    <w:pPr>
      <w:numPr>
        <w:numId w:val="7"/>
      </w:numPr>
    </w:pPr>
  </w:style>
  <w:style w:type="paragraph" w:customStyle="1" w:styleId="ListAlpha2">
    <w:name w:val="List Alpha 2"/>
    <w:basedOn w:val="List2"/>
    <w:rsid w:val="003B7EEA"/>
    <w:pPr>
      <w:numPr>
        <w:numId w:val="6"/>
      </w:numPr>
    </w:pPr>
  </w:style>
  <w:style w:type="paragraph" w:styleId="List2">
    <w:name w:val="List 2"/>
    <w:basedOn w:val="BodyText"/>
    <w:rsid w:val="003B7E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E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E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E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E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E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7EEA"/>
    <w:pPr>
      <w:numPr>
        <w:numId w:val="2"/>
      </w:numPr>
    </w:pPr>
  </w:style>
  <w:style w:type="paragraph" w:styleId="ListContinue2">
    <w:name w:val="List Continue 2"/>
    <w:basedOn w:val="List2"/>
    <w:rsid w:val="003B7EEA"/>
    <w:pPr>
      <w:ind w:firstLine="0"/>
    </w:pPr>
  </w:style>
  <w:style w:type="paragraph" w:styleId="ListContinue3">
    <w:name w:val="List Continue 3"/>
    <w:basedOn w:val="List3"/>
    <w:rsid w:val="003B7EEA"/>
    <w:pPr>
      <w:ind w:left="1021" w:firstLine="0"/>
    </w:pPr>
  </w:style>
  <w:style w:type="paragraph" w:styleId="ListContinue4">
    <w:name w:val="List Continue 4"/>
    <w:basedOn w:val="List4"/>
    <w:rsid w:val="003B7EEA"/>
    <w:pPr>
      <w:ind w:firstLine="0"/>
    </w:pPr>
  </w:style>
  <w:style w:type="paragraph" w:styleId="ListContinue5">
    <w:name w:val="List Continue 5"/>
    <w:basedOn w:val="List5"/>
    <w:rsid w:val="003B7EEA"/>
    <w:pPr>
      <w:ind w:firstLine="0"/>
    </w:pPr>
  </w:style>
  <w:style w:type="paragraph" w:styleId="ListNumber3">
    <w:name w:val="List Number 3"/>
    <w:basedOn w:val="List3"/>
    <w:rsid w:val="003B7EEA"/>
    <w:pPr>
      <w:numPr>
        <w:numId w:val="3"/>
      </w:numPr>
    </w:pPr>
  </w:style>
  <w:style w:type="paragraph" w:styleId="ListNumber4">
    <w:name w:val="List Number 4"/>
    <w:basedOn w:val="List4"/>
    <w:rsid w:val="003B7EEA"/>
    <w:pPr>
      <w:numPr>
        <w:numId w:val="4"/>
      </w:numPr>
    </w:pPr>
  </w:style>
  <w:style w:type="paragraph" w:styleId="ListNumber5">
    <w:name w:val="List Number 5"/>
    <w:basedOn w:val="List5"/>
    <w:rsid w:val="003B7EEA"/>
    <w:pPr>
      <w:numPr>
        <w:numId w:val="5"/>
      </w:numPr>
    </w:pPr>
  </w:style>
  <w:style w:type="paragraph" w:styleId="BlockText">
    <w:name w:val="Block Text"/>
    <w:basedOn w:val="Normal"/>
    <w:rsid w:val="003B7E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E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EEA"/>
    <w:rPr>
      <w:sz w:val="16"/>
      <w:vertAlign w:val="superscript"/>
    </w:rPr>
  </w:style>
  <w:style w:type="character" w:customStyle="1" w:styleId="Symbols">
    <w:name w:val="Symbols"/>
    <w:basedOn w:val="DefaultParagraphFont"/>
    <w:rsid w:val="003B7EEA"/>
    <w:rPr>
      <w:rFonts w:ascii="Symbol" w:hAnsi="Symbol"/>
    </w:rPr>
  </w:style>
  <w:style w:type="character" w:customStyle="1" w:styleId="MenuOptions">
    <w:name w:val="Menu Options"/>
    <w:basedOn w:val="DefaultParagraphFont"/>
    <w:rsid w:val="003B7E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EEA"/>
    <w:rPr>
      <w:b/>
    </w:rPr>
  </w:style>
  <w:style w:type="character" w:customStyle="1" w:styleId="Underlined">
    <w:name w:val="Underlined"/>
    <w:basedOn w:val="DefaultParagraphFont"/>
    <w:rsid w:val="003B7EEA"/>
    <w:rPr>
      <w:u w:val="single"/>
    </w:rPr>
  </w:style>
  <w:style w:type="paragraph" w:customStyle="1" w:styleId="TableBodyTextRight">
    <w:name w:val="Table Body Text Right"/>
    <w:basedOn w:val="TableBodyText"/>
    <w:rsid w:val="003B7E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EEA"/>
    <w:rPr>
      <w:sz w:val="18"/>
    </w:rPr>
  </w:style>
  <w:style w:type="paragraph" w:customStyle="1" w:styleId="BodySmallRight">
    <w:name w:val="Body Small Right"/>
    <w:basedOn w:val="BodyTextRight"/>
    <w:rsid w:val="003B7EEA"/>
    <w:rPr>
      <w:sz w:val="18"/>
      <w:szCs w:val="18"/>
    </w:rPr>
  </w:style>
  <w:style w:type="paragraph" w:customStyle="1" w:styleId="MarginEdition">
    <w:name w:val="Margin Edition"/>
    <w:basedOn w:val="MarginNote"/>
    <w:rsid w:val="003B7E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EEA"/>
    <w:rPr>
      <w:sz w:val="2"/>
      <w:szCs w:val="2"/>
    </w:rPr>
  </w:style>
  <w:style w:type="character" w:customStyle="1" w:styleId="Small">
    <w:name w:val="Small"/>
    <w:basedOn w:val="DefaultParagraphFont"/>
    <w:rsid w:val="003B7EEA"/>
    <w:rPr>
      <w:sz w:val="16"/>
    </w:rPr>
  </w:style>
  <w:style w:type="paragraph" w:customStyle="1" w:styleId="WideTable">
    <w:name w:val="Wide Table"/>
    <w:basedOn w:val="Normal"/>
    <w:rsid w:val="003B7E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EEA"/>
  </w:style>
  <w:style w:type="paragraph" w:styleId="Quote">
    <w:name w:val="Quote"/>
    <w:basedOn w:val="Heading1"/>
    <w:link w:val="QuoteChar"/>
    <w:qFormat/>
    <w:rsid w:val="003B7E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E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EEA"/>
    <w:pPr>
      <w:pageBreakBefore/>
    </w:pPr>
  </w:style>
  <w:style w:type="paragraph" w:customStyle="1" w:styleId="Border">
    <w:name w:val="Border"/>
    <w:basedOn w:val="Normal"/>
    <w:qFormat/>
    <w:rsid w:val="003B7E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E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E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E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E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E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E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E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E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EEA"/>
    <w:rPr>
      <w:u w:val="single"/>
    </w:rPr>
  </w:style>
  <w:style w:type="character" w:customStyle="1" w:styleId="BoldandItalics">
    <w:name w:val="Bold and Italics"/>
    <w:qFormat/>
    <w:rsid w:val="003B7EEA"/>
    <w:rPr>
      <w:b/>
      <w:i/>
      <w:u w:val="none"/>
    </w:rPr>
  </w:style>
  <w:style w:type="paragraph" w:styleId="BalloonText">
    <w:name w:val="Balloon Text"/>
    <w:basedOn w:val="Normal"/>
    <w:link w:val="BalloonTextChar"/>
    <w:rsid w:val="003B7E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E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E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E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E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E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EEA"/>
    <w:pPr>
      <w:spacing w:before="0" w:after="0"/>
    </w:pPr>
  </w:style>
  <w:style w:type="paragraph" w:customStyle="1" w:styleId="BodyTextBold">
    <w:name w:val="Body Text Bold"/>
    <w:basedOn w:val="BodyText"/>
    <w:qFormat/>
    <w:rsid w:val="003B7EEA"/>
    <w:rPr>
      <w:b/>
    </w:rPr>
  </w:style>
  <w:style w:type="character" w:styleId="Hyperlink">
    <w:name w:val="Hyperlink"/>
    <w:basedOn w:val="DefaultParagraphFont"/>
    <w:uiPriority w:val="99"/>
    <w:unhideWhenUsed/>
    <w:rsid w:val="00C65E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605</Words>
  <Characters>3805</Characters>
  <Application>Microsoft Office Word</Application>
  <DocSecurity>0</DocSecurity>
  <Lines>165</Lines>
  <Paragraphs>86</Paragraphs>
  <ScaleCrop>false</ScaleCrop>
  <Company>Author-it Software Corporation Ltd.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TLIF2072 Comply with safety and security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2021-04-12T02:01:00Z</dcterms:created>
  <dcterms:modified xsi:type="dcterms:W3CDTF">2021-04-12T02:02:00Z</dcterms:modified>
</cp:coreProperties>
</file>