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A93" w:rsidP="00082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TLIF2010 Apply fatigue management strategies</w:t>
      </w:r>
      <w:r>
        <w:fldChar w:fldCharType="end"/>
      </w:r>
    </w:p>
    <w:p w:rsidR="00082A93" w:rsidP="00082A93">
      <w:pPr>
        <w:pStyle w:val="Version"/>
        <w:sectPr w:rsidSect="00195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5AB7" w:rsidP="00195AB7">
      <w:pPr>
        <w:pStyle w:val="SuperHeading"/>
      </w:pPr>
      <w:r w:rsidRPr="00195AB7">
        <w:t>TLIF2010 Apply fatigue management strategies</w:t>
      </w:r>
    </w:p>
    <w:p w:rsidR="00000000" w:rsidRPr="00195AB7" w:rsidP="00195AB7">
      <w:pPr>
        <w:pStyle w:val="Heading1"/>
      </w:pPr>
      <w:bookmarkStart w:id="1" w:name="O_1196136"/>
      <w:bookmarkEnd w:id="1"/>
      <w:r w:rsidRPr="00195A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A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rPr>
                <w:rStyle w:val="SpecialBold"/>
              </w:rPr>
              <w:t>Release 2.</w:t>
            </w:r>
            <w:r w:rsidRPr="00195AB7">
              <w:t xml:space="preserve"> This is the second release of this unit of competency in the TLI Transport and Logistics Training Package.  </w:t>
            </w:r>
          </w:p>
          <w:p w:rsidR="00000000" w:rsidRPr="00195AB7" w:rsidP="00195AB7">
            <w:pPr>
              <w:pStyle w:val="ListBullet2"/>
            </w:pPr>
            <w:r w:rsidRPr="00195AB7">
              <w:t>Minor changes to unit Application</w:t>
            </w:r>
          </w:p>
          <w:p w:rsidR="00000000" w:rsidP="00195AB7">
            <w:pPr>
              <w:pStyle w:val="ListBullet2"/>
              <w:rPr>
                <w:lang w:val="en-NZ"/>
              </w:rPr>
            </w:pPr>
            <w:r w:rsidRPr="00195AB7">
              <w:t>Minor changes to Assessment Conditions.</w:t>
            </w:r>
          </w:p>
        </w:tc>
      </w:tr>
      <w:tr w:rsidTr="00195A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rPr>
                <w:rStyle w:val="SpecialBold"/>
              </w:rPr>
              <w:t>Release 1.</w:t>
            </w:r>
            <w:r w:rsidRPr="00195AB7">
              <w:t xml:space="preserve"> This is the first r</w:t>
            </w:r>
            <w:r w:rsidRPr="00195AB7">
              <w:t>elease of this unit of competency in the TLI Transport and Logistics Training Package.</w:t>
            </w:r>
          </w:p>
        </w:tc>
      </w:tr>
    </w:tbl>
    <w:p w:rsidR="00082A93" w:rsidP="00195AB7">
      <w:pPr>
        <w:pStyle w:val="NoPaddingFontSize1"/>
      </w:pPr>
    </w:p>
    <w:p w:rsidR="00082A93" w:rsidP="00195AB7">
      <w:pPr>
        <w:pStyle w:val="NoPaddingFontSize1"/>
      </w:pPr>
    </w:p>
    <w:p w:rsidR="00000000" w:rsidRPr="00195AB7" w:rsidP="00195AB7">
      <w:pPr>
        <w:pStyle w:val="Heading1"/>
      </w:pPr>
      <w:bookmarkStart w:id="2" w:name="O_1196135"/>
      <w:bookmarkEnd w:id="2"/>
      <w:r w:rsidRPr="00195AB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A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t>This unit involves the skills and knowledge required to apply fatigue management strategies within the transport and logistics industry.</w:t>
            </w:r>
          </w:p>
          <w:p w:rsidR="00000000" w:rsidRPr="00195AB7" w:rsidP="00195AB7">
            <w:pPr>
              <w:pStyle w:val="BodyText"/>
            </w:pPr>
            <w:r w:rsidRPr="00195AB7">
              <w:t>It includes identifying and acting on signs of fatigue and implementing appropriate strategies to minimise fatigue duri</w:t>
            </w:r>
            <w:r w:rsidRPr="00195AB7">
              <w:t xml:space="preserve">ng work activities, in particular when operating equipment, trains, vehicles, load shifting equipment, marine vessels and aircraft.  </w:t>
            </w:r>
          </w:p>
          <w:p w:rsidR="00000000" w:rsidRPr="00195AB7" w:rsidP="00195AB7">
            <w:pPr>
              <w:pStyle w:val="BodyText"/>
            </w:pPr>
            <w:r w:rsidRPr="00195AB7">
              <w:t>Work is undertaken in compliance with relevant legislation, regulations, codes and guidelines.</w:t>
            </w:r>
          </w:p>
          <w:p w:rsidR="00000000" w:rsidRPr="00195AB7" w:rsidP="00195AB7">
            <w:pPr>
              <w:pStyle w:val="BodyText"/>
            </w:pPr>
            <w:r w:rsidRPr="00195AB7">
              <w:t>Work is performed under som</w:t>
            </w:r>
            <w:r w:rsidRPr="00195AB7">
              <w:t xml:space="preserve">e supervision generally within a team environment. </w:t>
            </w:r>
          </w:p>
          <w:p w:rsidR="00000000" w:rsidRPr="00195AB7" w:rsidP="00195AB7">
            <w:pPr>
              <w:pStyle w:val="BodyText"/>
            </w:pPr>
            <w:r w:rsidRPr="00195AB7">
              <w:t>No licensing, legislative or certification requirements apply to this unit at the time of publication.</w:t>
            </w:r>
          </w:p>
        </w:tc>
      </w:tr>
    </w:tbl>
    <w:p w:rsidR="00082A93" w:rsidP="00195AB7">
      <w:pPr>
        <w:pStyle w:val="NoPaddingFontSize1"/>
      </w:pPr>
    </w:p>
    <w:p w:rsidR="00082A93" w:rsidP="00195AB7">
      <w:pPr>
        <w:pStyle w:val="NoPaddingFontSize1"/>
      </w:pPr>
    </w:p>
    <w:p w:rsidR="00000000" w:rsidRPr="00195AB7" w:rsidP="00195AB7">
      <w:pPr>
        <w:pStyle w:val="Heading1"/>
      </w:pPr>
      <w:bookmarkStart w:id="3" w:name="O_1196134"/>
      <w:bookmarkEnd w:id="3"/>
      <w:r w:rsidRPr="00195AB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A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t>Not applicable.</w:t>
            </w:r>
          </w:p>
        </w:tc>
      </w:tr>
    </w:tbl>
    <w:p w:rsidR="00082A93" w:rsidP="00195AB7">
      <w:pPr>
        <w:pStyle w:val="NoPaddingFontSize1"/>
      </w:pPr>
    </w:p>
    <w:p w:rsidR="00082A93" w:rsidP="00195AB7">
      <w:pPr>
        <w:pStyle w:val="NoPaddingFontSize1"/>
      </w:pPr>
    </w:p>
    <w:p w:rsidR="00000000" w:rsidRPr="00195AB7" w:rsidP="00195AB7">
      <w:pPr>
        <w:pStyle w:val="Heading1"/>
      </w:pPr>
      <w:bookmarkStart w:id="4" w:name="O_1196133"/>
      <w:bookmarkEnd w:id="4"/>
      <w:r w:rsidRPr="00195AB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A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t xml:space="preserve">F – </w:t>
            </w:r>
            <w:r w:rsidRPr="00195AB7">
              <w:t>Safety Management.</w:t>
            </w:r>
          </w:p>
        </w:tc>
      </w:tr>
    </w:tbl>
    <w:p w:rsidR="00082A93" w:rsidP="00195AB7">
      <w:pPr>
        <w:pStyle w:val="NoPaddingFontSize1"/>
      </w:pPr>
    </w:p>
    <w:p w:rsidR="00082A93" w:rsidP="00195AB7">
      <w:pPr>
        <w:pStyle w:val="NoPaddingFontSize1"/>
      </w:pPr>
    </w:p>
    <w:p w:rsidR="00000000" w:rsidRPr="00195AB7" w:rsidP="00195AB7">
      <w:pPr>
        <w:pStyle w:val="Heading1"/>
      </w:pPr>
      <w:bookmarkStart w:id="5" w:name="O_1196132"/>
      <w:bookmarkEnd w:id="5"/>
      <w:r w:rsidRPr="00195AB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A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t>Not applicable.</w:t>
            </w:r>
          </w:p>
        </w:tc>
      </w:tr>
    </w:tbl>
    <w:p w:rsidR="00082A93" w:rsidP="00195AB7">
      <w:pPr>
        <w:pStyle w:val="NoPaddingFontSize1"/>
      </w:pPr>
    </w:p>
    <w:p w:rsidR="00082A93" w:rsidP="00195AB7">
      <w:pPr>
        <w:pStyle w:val="NoPaddingFontSize1"/>
      </w:pPr>
    </w:p>
    <w:p w:rsidR="00000000" w:rsidRPr="00195AB7" w:rsidP="00195AB7">
      <w:pPr>
        <w:pStyle w:val="Heading1"/>
      </w:pPr>
      <w:bookmarkStart w:id="6" w:name="O_1196131"/>
      <w:bookmarkEnd w:id="6"/>
      <w:r w:rsidRPr="00195A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1"/>
        <w:gridCol w:w="2038"/>
        <w:gridCol w:w="488"/>
        <w:gridCol w:w="6409"/>
      </w:tblGrid>
      <w:tr w:rsidTr="00082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rPr>
                <w:rStyle w:val="SpecialBold"/>
              </w:rPr>
              <w:t>PERFORMANCE CRITERIA</w:t>
            </w:r>
          </w:p>
        </w:tc>
      </w:tr>
      <w:tr w:rsidTr="00082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t xml:space="preserve">Elements describe the </w:t>
            </w:r>
            <w:r w:rsidRPr="00195AB7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t xml:space="preserve">Performance criteria describe the performance needed to demonstrate </w:t>
            </w:r>
            <w:r w:rsidRPr="00195AB7">
              <w:t>achievement of the element.</w:t>
            </w:r>
          </w:p>
        </w:tc>
      </w:tr>
      <w:tr w:rsidTr="00082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rPr>
                <w:rStyle w:val="SpecialBold"/>
              </w:rPr>
              <w:t>Identify and act on signs of fatigue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t>Potential causes of fatigue are identified and actions taken to minimise their effects in accordance with workplace</w:t>
            </w:r>
            <w:r w:rsidRPr="00195AB7">
              <w:t xml:space="preserve"> procedures</w:t>
            </w:r>
          </w:p>
        </w:tc>
      </w:tr>
      <w:tr w:rsidTr="00082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t>Personal warning signs of fatigue are recognised, and necessary steps are taken in accordance with workplace procedures, to ensure that effective work capability and alertness are maintained</w:t>
            </w:r>
          </w:p>
        </w:tc>
      </w:tr>
      <w:tr w:rsidTr="00082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rPr>
                <w:rStyle w:val="SpecialBold"/>
              </w:rPr>
              <w:t>Implement strategies to minimise fatigue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t>Workplace procedures are assessed to minimise fatigue</w:t>
            </w:r>
          </w:p>
        </w:tc>
      </w:tr>
      <w:tr w:rsidTr="00082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t>Factors that increase the risk of fatigue-related accidents and incidents are minimised</w:t>
            </w:r>
          </w:p>
        </w:tc>
      </w:tr>
      <w:tr w:rsidTr="00082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t>Fatigue management strategies are implemented in accordance with workplace policy and procedures</w:t>
            </w:r>
          </w:p>
        </w:tc>
      </w:tr>
      <w:tr w:rsidTr="00082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t>Lifestyle choices are made that promote the effective long-term management of fatigue</w:t>
            </w:r>
          </w:p>
        </w:tc>
      </w:tr>
      <w:tr w:rsidTr="00082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t>Effective practices in combating fatigue are adopted and applied</w:t>
            </w:r>
          </w:p>
        </w:tc>
      </w:tr>
      <w:tr w:rsidTr="00082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t>Personal fatigue management strategies are communicated to relevant people</w:t>
            </w:r>
          </w:p>
        </w:tc>
      </w:tr>
      <w:tr w:rsidTr="00082A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AB7">
            <w:pPr>
              <w:pStyle w:val="BodyText"/>
              <w:rPr>
                <w:lang w:val="en-NZ"/>
              </w:rPr>
            </w:pPr>
            <w:r w:rsidRPr="00195AB7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t>Appropriate counter measures are planned to combat fatigue</w:t>
            </w:r>
          </w:p>
        </w:tc>
      </w:tr>
    </w:tbl>
    <w:p w:rsidR="00082A93" w:rsidP="00195AB7">
      <w:pPr>
        <w:pStyle w:val="NoPaddingFontSize1"/>
      </w:pPr>
    </w:p>
    <w:p w:rsidR="00082A93" w:rsidP="00195AB7">
      <w:pPr>
        <w:pStyle w:val="NoPaddingFontSize1"/>
      </w:pPr>
    </w:p>
    <w:p w:rsidR="00000000" w:rsidRPr="00195AB7" w:rsidP="00195AB7">
      <w:pPr>
        <w:pStyle w:val="Heading1"/>
      </w:pPr>
      <w:bookmarkStart w:id="7" w:name="O_1196130"/>
      <w:bookmarkEnd w:id="7"/>
      <w:r w:rsidRPr="00195AB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A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t>Foundation skills essential to performance are explicit in the performance criteria of this unit of competency.</w:t>
            </w:r>
          </w:p>
        </w:tc>
      </w:tr>
    </w:tbl>
    <w:p w:rsidR="00082A93" w:rsidP="00195AB7">
      <w:pPr>
        <w:pStyle w:val="NoPaddingFontSize1"/>
      </w:pPr>
    </w:p>
    <w:p w:rsidR="00082A93" w:rsidP="00195AB7">
      <w:pPr>
        <w:pStyle w:val="NoPaddingFontSize1"/>
      </w:pPr>
    </w:p>
    <w:p w:rsidR="00000000" w:rsidRPr="00195AB7" w:rsidP="00195AB7">
      <w:pPr>
        <w:pStyle w:val="Heading1"/>
      </w:pPr>
      <w:bookmarkStart w:id="8" w:name="O_1196129"/>
      <w:bookmarkEnd w:id="8"/>
      <w:r w:rsidRPr="00195AB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A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t>Range is restricted to essential operating conditions and any other variables essential to the work environment.</w:t>
            </w:r>
          </w:p>
          <w:p w:rsidR="00000000" w:rsidRPr="00195AB7" w:rsidP="00195AB7">
            <w:pPr>
              <w:pStyle w:val="BodyText"/>
            </w:pPr>
            <w:r w:rsidRPr="00195AB7">
              <w:t>Non-essential conditions can be found in the TLI Transport and Logistics Training Package Companion Volume Implementation Guide.</w:t>
            </w:r>
          </w:p>
        </w:tc>
      </w:tr>
    </w:tbl>
    <w:p w:rsidR="00082A93" w:rsidP="00195AB7">
      <w:pPr>
        <w:pStyle w:val="NoPaddingFontSize1"/>
      </w:pPr>
    </w:p>
    <w:p w:rsidR="00082A93" w:rsidP="00195AB7">
      <w:pPr>
        <w:pStyle w:val="NoPaddingFontSize1"/>
      </w:pPr>
    </w:p>
    <w:p w:rsidR="00000000" w:rsidRPr="00195AB7" w:rsidP="00195AB7">
      <w:pPr>
        <w:pStyle w:val="Heading1"/>
      </w:pPr>
      <w:bookmarkStart w:id="9" w:name="O_1196128"/>
      <w:bookmarkEnd w:id="9"/>
      <w:r w:rsidRPr="00195AB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5A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AB7" w:rsidP="00195AB7">
            <w:pPr>
              <w:pStyle w:val="BodyText"/>
            </w:pPr>
            <w:r w:rsidRPr="00195AB7">
              <w:t>This unit replaces and is equivalent to TLIF2010A Apply fatigue management strategies.</w:t>
            </w:r>
          </w:p>
        </w:tc>
      </w:tr>
    </w:tbl>
    <w:p w:rsidR="00082A93" w:rsidP="00195AB7">
      <w:pPr>
        <w:pStyle w:val="NoPaddingFontSize1"/>
      </w:pPr>
    </w:p>
    <w:p w:rsidR="00082A93" w:rsidP="00195AB7">
      <w:pPr>
        <w:pStyle w:val="NoPaddingFontSize1"/>
      </w:pPr>
    </w:p>
    <w:p w:rsidR="00000000" w:rsidRPr="00195AB7" w:rsidP="00195AB7">
      <w:pPr>
        <w:pStyle w:val="Heading1"/>
      </w:pPr>
      <w:bookmarkStart w:id="10" w:name="O_1196137"/>
      <w:bookmarkEnd w:id="10"/>
      <w:r w:rsidRPr="00195AB7">
        <w:t>Links</w:t>
      </w:r>
    </w:p>
    <w:p w:rsidR="00000000" w:rsidRPr="00195AB7" w:rsidP="00082A93">
      <w:pPr>
        <w:pStyle w:val="BodyText"/>
      </w:pPr>
      <w:r w:rsidRPr="00195A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321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95AB7" w:rsidP="00195AB7"/>
    <w:sectPr w:rsidSect="00195A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AB7" w:rsidRPr="00082A93" w:rsidP="00082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93" w:rsidP="00195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A93" w:rsidP="00195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82A93" w:rsidP="00195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AB7" w:rsidRPr="00082A93" w:rsidP="00082A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93" w:rsidRPr="002D2AF8" w:rsidP="00195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TLIF2010 Apply fatigue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82A93" w:rsidP="00195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26D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DC63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AB7"/>
  </w:style>
  <w:style w:type="character" w:customStyle="1" w:styleId="Heading1Char">
    <w:name w:val="Heading 1 Char"/>
    <w:basedOn w:val="DefaultParagraphFont"/>
    <w:link w:val="Heading1"/>
    <w:rsid w:val="00195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AB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95AB7"/>
    <w:rPr>
      <w:b/>
      <w:spacing w:val="0"/>
    </w:rPr>
  </w:style>
  <w:style w:type="paragraph" w:styleId="ListBullet2">
    <w:name w:val="List Bullet 2"/>
    <w:basedOn w:val="List2"/>
    <w:rsid w:val="00195AB7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5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5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A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A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5A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5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5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A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AB7"/>
    <w:rPr>
      <w:i/>
    </w:rPr>
  </w:style>
  <w:style w:type="paragraph" w:styleId="Caption">
    <w:name w:val="caption"/>
    <w:basedOn w:val="BodyText"/>
    <w:next w:val="Normal"/>
    <w:qFormat/>
    <w:rsid w:val="00195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AB7"/>
  </w:style>
  <w:style w:type="paragraph" w:styleId="TableofFigures">
    <w:name w:val="table of figures"/>
    <w:basedOn w:val="Normal"/>
    <w:next w:val="Normal"/>
    <w:semiHidden/>
    <w:rsid w:val="00195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A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5AB7"/>
    <w:rPr>
      <w:rFonts w:ascii="Wingdings" w:hAnsi="Wingdings"/>
    </w:rPr>
  </w:style>
  <w:style w:type="paragraph" w:customStyle="1" w:styleId="TableHeading">
    <w:name w:val="Table Heading"/>
    <w:basedOn w:val="HeadingBase"/>
    <w:rsid w:val="00195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AB7"/>
    <w:rPr>
      <w:color w:val="0033CC"/>
      <w:u w:val="none"/>
    </w:rPr>
  </w:style>
  <w:style w:type="paragraph" w:customStyle="1" w:styleId="BodyTextRight">
    <w:name w:val="Body Text Right"/>
    <w:basedOn w:val="BodyText"/>
    <w:rsid w:val="00195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A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AB7"/>
    <w:rPr>
      <w:sz w:val="32"/>
    </w:rPr>
  </w:style>
  <w:style w:type="paragraph" w:customStyle="1" w:styleId="HeadingProcedure">
    <w:name w:val="Heading Procedure"/>
    <w:basedOn w:val="HeadingBase"/>
    <w:next w:val="Normal"/>
    <w:rsid w:val="00195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AB7"/>
    <w:pPr>
      <w:spacing w:before="60" w:after="60"/>
    </w:pPr>
  </w:style>
  <w:style w:type="paragraph" w:styleId="ListContinue">
    <w:name w:val="List Continue"/>
    <w:basedOn w:val="List"/>
    <w:rsid w:val="00195AB7"/>
    <w:pPr>
      <w:ind w:firstLine="0"/>
    </w:pPr>
  </w:style>
  <w:style w:type="paragraph" w:customStyle="1" w:styleId="ListNote">
    <w:name w:val="List Note"/>
    <w:basedOn w:val="List"/>
    <w:rsid w:val="00195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AB7"/>
    <w:rPr>
      <w:rFonts w:ascii="Courier New" w:hAnsi="Courier New"/>
    </w:rPr>
  </w:style>
  <w:style w:type="paragraph" w:customStyle="1" w:styleId="NoteBullet">
    <w:name w:val="Note Bullet"/>
    <w:basedOn w:val="Note"/>
    <w:rsid w:val="00195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A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AB7"/>
    <w:rPr>
      <w:b/>
      <w:smallCaps/>
    </w:rPr>
  </w:style>
  <w:style w:type="paragraph" w:customStyle="1" w:styleId="TableListNumber">
    <w:name w:val="Table List Number"/>
    <w:basedOn w:val="ListNumber"/>
    <w:rsid w:val="00195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AB7"/>
    <w:pPr>
      <w:numPr>
        <w:numId w:val="8"/>
      </w:numPr>
    </w:pPr>
  </w:style>
  <w:style w:type="paragraph" w:customStyle="1" w:styleId="ListAlpha2">
    <w:name w:val="List Alpha 2"/>
    <w:basedOn w:val="List2"/>
    <w:rsid w:val="00195AB7"/>
    <w:pPr>
      <w:numPr>
        <w:numId w:val="7"/>
      </w:numPr>
    </w:pPr>
  </w:style>
  <w:style w:type="paragraph" w:styleId="List2">
    <w:name w:val="List 2"/>
    <w:basedOn w:val="BodyText"/>
    <w:rsid w:val="00195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A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A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5AB7"/>
    <w:pPr>
      <w:numPr>
        <w:numId w:val="3"/>
      </w:numPr>
    </w:pPr>
  </w:style>
  <w:style w:type="paragraph" w:styleId="ListContinue2">
    <w:name w:val="List Continue 2"/>
    <w:basedOn w:val="List2"/>
    <w:rsid w:val="00195AB7"/>
    <w:pPr>
      <w:ind w:firstLine="0"/>
    </w:pPr>
  </w:style>
  <w:style w:type="paragraph" w:styleId="ListContinue3">
    <w:name w:val="List Continue 3"/>
    <w:basedOn w:val="List3"/>
    <w:rsid w:val="00195AB7"/>
    <w:pPr>
      <w:ind w:left="1021" w:firstLine="0"/>
    </w:pPr>
  </w:style>
  <w:style w:type="paragraph" w:styleId="ListContinue4">
    <w:name w:val="List Continue 4"/>
    <w:basedOn w:val="List4"/>
    <w:rsid w:val="00195AB7"/>
    <w:pPr>
      <w:ind w:firstLine="0"/>
    </w:pPr>
  </w:style>
  <w:style w:type="paragraph" w:styleId="ListContinue5">
    <w:name w:val="List Continue 5"/>
    <w:basedOn w:val="List5"/>
    <w:rsid w:val="00195AB7"/>
    <w:pPr>
      <w:ind w:firstLine="0"/>
    </w:pPr>
  </w:style>
  <w:style w:type="paragraph" w:styleId="ListNumber3">
    <w:name w:val="List Number 3"/>
    <w:basedOn w:val="List3"/>
    <w:rsid w:val="00195AB7"/>
    <w:pPr>
      <w:numPr>
        <w:numId w:val="4"/>
      </w:numPr>
    </w:pPr>
  </w:style>
  <w:style w:type="paragraph" w:styleId="ListNumber4">
    <w:name w:val="List Number 4"/>
    <w:basedOn w:val="List4"/>
    <w:rsid w:val="00195AB7"/>
    <w:pPr>
      <w:numPr>
        <w:numId w:val="5"/>
      </w:numPr>
    </w:pPr>
  </w:style>
  <w:style w:type="paragraph" w:styleId="ListNumber5">
    <w:name w:val="List Number 5"/>
    <w:basedOn w:val="List5"/>
    <w:rsid w:val="00195AB7"/>
    <w:pPr>
      <w:numPr>
        <w:numId w:val="6"/>
      </w:numPr>
    </w:pPr>
  </w:style>
  <w:style w:type="paragraph" w:styleId="BlockText">
    <w:name w:val="Block Text"/>
    <w:basedOn w:val="Normal"/>
    <w:rsid w:val="00195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AB7"/>
    <w:rPr>
      <w:sz w:val="16"/>
      <w:vertAlign w:val="superscript"/>
    </w:rPr>
  </w:style>
  <w:style w:type="character" w:customStyle="1" w:styleId="Symbols">
    <w:name w:val="Symbols"/>
    <w:basedOn w:val="DefaultParagraphFont"/>
    <w:rsid w:val="00195AB7"/>
    <w:rPr>
      <w:rFonts w:ascii="Symbol" w:hAnsi="Symbol"/>
    </w:rPr>
  </w:style>
  <w:style w:type="character" w:customStyle="1" w:styleId="MenuOptions">
    <w:name w:val="Menu Options"/>
    <w:basedOn w:val="DefaultParagraphFont"/>
    <w:rsid w:val="00195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AB7"/>
    <w:rPr>
      <w:b/>
    </w:rPr>
  </w:style>
  <w:style w:type="character" w:customStyle="1" w:styleId="Underlined">
    <w:name w:val="Underlined"/>
    <w:basedOn w:val="DefaultParagraphFont"/>
    <w:rsid w:val="00195AB7"/>
    <w:rPr>
      <w:u w:val="single"/>
    </w:rPr>
  </w:style>
  <w:style w:type="paragraph" w:customStyle="1" w:styleId="TableBodyTextRight">
    <w:name w:val="Table Body Text Right"/>
    <w:basedOn w:val="TableBodyText"/>
    <w:rsid w:val="00195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AB7"/>
    <w:rPr>
      <w:sz w:val="18"/>
    </w:rPr>
  </w:style>
  <w:style w:type="paragraph" w:customStyle="1" w:styleId="BodySmallRight">
    <w:name w:val="Body Small Right"/>
    <w:basedOn w:val="BodyTextRight"/>
    <w:rsid w:val="00195AB7"/>
    <w:rPr>
      <w:sz w:val="18"/>
      <w:szCs w:val="18"/>
    </w:rPr>
  </w:style>
  <w:style w:type="paragraph" w:customStyle="1" w:styleId="MarginEdition">
    <w:name w:val="Margin Edition"/>
    <w:basedOn w:val="MarginNote"/>
    <w:rsid w:val="00195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AB7"/>
    <w:rPr>
      <w:sz w:val="2"/>
      <w:szCs w:val="2"/>
    </w:rPr>
  </w:style>
  <w:style w:type="character" w:customStyle="1" w:styleId="Small">
    <w:name w:val="Small"/>
    <w:basedOn w:val="DefaultParagraphFont"/>
    <w:rsid w:val="00195AB7"/>
    <w:rPr>
      <w:sz w:val="16"/>
    </w:rPr>
  </w:style>
  <w:style w:type="paragraph" w:customStyle="1" w:styleId="WideTable">
    <w:name w:val="Wide Table"/>
    <w:basedOn w:val="Normal"/>
    <w:rsid w:val="00195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AB7"/>
  </w:style>
  <w:style w:type="paragraph" w:styleId="Quote">
    <w:name w:val="Quote"/>
    <w:basedOn w:val="Heading1"/>
    <w:link w:val="QuoteChar"/>
    <w:qFormat/>
    <w:rsid w:val="00195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AB7"/>
    <w:pPr>
      <w:pageBreakBefore/>
    </w:pPr>
  </w:style>
  <w:style w:type="paragraph" w:customStyle="1" w:styleId="Border">
    <w:name w:val="Border"/>
    <w:basedOn w:val="Normal"/>
    <w:qFormat/>
    <w:rsid w:val="00195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AB7"/>
    <w:rPr>
      <w:u w:val="single"/>
    </w:rPr>
  </w:style>
  <w:style w:type="character" w:customStyle="1" w:styleId="BoldandItalics">
    <w:name w:val="Bold and Italics"/>
    <w:qFormat/>
    <w:rsid w:val="00195AB7"/>
    <w:rPr>
      <w:b/>
      <w:i/>
      <w:u w:val="none"/>
    </w:rPr>
  </w:style>
  <w:style w:type="paragraph" w:styleId="BalloonText">
    <w:name w:val="Balloon Text"/>
    <w:basedOn w:val="Normal"/>
    <w:link w:val="BalloonTextChar"/>
    <w:rsid w:val="00195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AB7"/>
    <w:pPr>
      <w:spacing w:before="0" w:after="0"/>
    </w:pPr>
  </w:style>
  <w:style w:type="paragraph" w:customStyle="1" w:styleId="BodyTextBold">
    <w:name w:val="Body Text Bold"/>
    <w:basedOn w:val="BodyText"/>
    <w:qFormat/>
    <w:rsid w:val="00195AB7"/>
    <w:rPr>
      <w:b/>
    </w:rPr>
  </w:style>
  <w:style w:type="character" w:styleId="Hyperlink">
    <w:name w:val="Hyperlink"/>
    <w:basedOn w:val="DefaultParagraphFont"/>
    <w:uiPriority w:val="99"/>
    <w:unhideWhenUsed/>
    <w:rsid w:val="00082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2816</Characters>
  <Application>Microsoft Office Word</Application>
  <DocSecurity>0</DocSecurity>
  <Lines>122</Lines>
  <Paragraphs>69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TLIF2010 Apply fatigue management strategies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