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0F3" w:rsidP="009B30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TLIF2010 Apply fatigue management strategies</w:t>
      </w:r>
      <w:r>
        <w:fldChar w:fldCharType="end"/>
      </w:r>
    </w:p>
    <w:p w:rsidR="009B30F3" w:rsidP="009B30F3">
      <w:pPr>
        <w:pStyle w:val="Version"/>
        <w:sectPr w:rsidSect="00604C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04C15" w:rsidP="00604C15">
      <w:pPr>
        <w:pStyle w:val="SuperHeading"/>
      </w:pPr>
      <w:r w:rsidRPr="00604C15">
        <w:t>TLIF2010 Apply fatigue management strategies</w:t>
      </w:r>
    </w:p>
    <w:p w:rsidR="00000000" w:rsidRPr="00604C15" w:rsidP="00604C15">
      <w:pPr>
        <w:pStyle w:val="Heading1"/>
      </w:pPr>
      <w:bookmarkStart w:id="1" w:name="O_1196136"/>
      <w:bookmarkEnd w:id="1"/>
      <w:r w:rsidRPr="00604C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 w:rsidP="00604C15">
            <w:pPr>
              <w:pStyle w:val="BodyText"/>
            </w:pPr>
            <w:r w:rsidRPr="00604C15">
              <w:rPr>
                <w:rStyle w:val="SpecialBold"/>
              </w:rPr>
              <w:t>Release 2.</w:t>
            </w:r>
            <w:r w:rsidRPr="00604C15">
              <w:t xml:space="preserve"> This is the second release of this unit of competency in the TLI Transport and Logistics Training Package.  </w:t>
            </w:r>
          </w:p>
          <w:p w:rsidR="00000000" w:rsidRPr="00604C15" w:rsidP="00604C15">
            <w:pPr>
              <w:pStyle w:val="ListBullet2"/>
            </w:pPr>
            <w:r w:rsidRPr="00604C15">
              <w:t>Minor changes to unit Application</w:t>
            </w:r>
          </w:p>
          <w:p w:rsidR="00000000" w:rsidP="00604C15">
            <w:pPr>
              <w:pStyle w:val="ListBullet2"/>
              <w:rPr>
                <w:lang w:val="en-NZ"/>
              </w:rPr>
            </w:pPr>
            <w:r w:rsidRPr="00604C15">
              <w:t>Minor changes to Assessment Conditions.</w:t>
            </w:r>
          </w:p>
        </w:tc>
      </w:tr>
      <w:tr w:rsidTr="00604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 w:rsidP="00604C15">
            <w:pPr>
              <w:pStyle w:val="BodyText"/>
            </w:pPr>
            <w:r w:rsidRPr="00604C15">
              <w:rPr>
                <w:rStyle w:val="SpecialBold"/>
              </w:rPr>
              <w:t>Release 1.</w:t>
            </w:r>
            <w:r w:rsidRPr="00604C15">
              <w:t xml:space="preserve"> This is the first r</w:t>
            </w:r>
            <w:r w:rsidRPr="00604C15">
              <w:t>elease of this unit of competency in the TLI Transport and Logistics Training Package.</w:t>
            </w:r>
          </w:p>
        </w:tc>
      </w:tr>
    </w:tbl>
    <w:p w:rsidR="009B30F3" w:rsidP="00604C15">
      <w:pPr>
        <w:pStyle w:val="NoPaddingFontSize1"/>
      </w:pPr>
    </w:p>
    <w:p w:rsidR="009B30F3" w:rsidP="00604C15">
      <w:pPr>
        <w:pStyle w:val="NoPaddingFontSize1"/>
      </w:pPr>
    </w:p>
    <w:p w:rsidR="00000000" w:rsidRPr="00604C15" w:rsidP="00604C15">
      <w:pPr>
        <w:pStyle w:val="Heading1"/>
      </w:pPr>
      <w:bookmarkStart w:id="2" w:name="O_1196135"/>
      <w:bookmarkEnd w:id="2"/>
      <w:r w:rsidRPr="00604C1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 w:rsidP="00604C15">
            <w:pPr>
              <w:pStyle w:val="BodyText"/>
            </w:pPr>
            <w:r w:rsidRPr="00604C15">
              <w:t>This unit involves the skills and knowledge required to apply fatigue management strategies within the transport and logistics industry.</w:t>
            </w:r>
          </w:p>
          <w:p w:rsidR="00000000" w:rsidRPr="00604C15" w:rsidP="00604C15">
            <w:pPr>
              <w:pStyle w:val="BodyText"/>
            </w:pPr>
            <w:r w:rsidRPr="00604C15">
              <w:t>It includes identifying and acting on signs of fatigue and implementing appropriate strategies to minimise fatigue duri</w:t>
            </w:r>
            <w:r w:rsidRPr="00604C15">
              <w:t xml:space="preserve">ng work activities, in particular when operating equipment, trains, vehicles, load shifting equipment, marine vessels and aircraft.  </w:t>
            </w:r>
          </w:p>
          <w:p w:rsidR="00000000" w:rsidRPr="00604C15" w:rsidP="00604C15">
            <w:pPr>
              <w:pStyle w:val="BodyText"/>
            </w:pPr>
            <w:r w:rsidRPr="00604C15">
              <w:t>Work is undertaken in compliance with relevant legislation, regulations, codes and guidelines.</w:t>
            </w:r>
          </w:p>
          <w:p w:rsidR="00000000" w:rsidRPr="00604C15" w:rsidP="00604C15">
            <w:pPr>
              <w:pStyle w:val="BodyText"/>
            </w:pPr>
            <w:r w:rsidRPr="00604C15">
              <w:t>Work is performed under som</w:t>
            </w:r>
            <w:r w:rsidRPr="00604C15">
              <w:t xml:space="preserve">e supervision generally within a team environment. </w:t>
            </w:r>
          </w:p>
          <w:p w:rsidR="00000000" w:rsidRPr="00604C15" w:rsidP="00604C15">
            <w:pPr>
              <w:pStyle w:val="BodyText"/>
            </w:pPr>
            <w:r w:rsidRPr="00604C15">
              <w:t>No licensing, legislative or certification requirements apply to this unit at the time of publication.</w:t>
            </w:r>
          </w:p>
        </w:tc>
      </w:tr>
    </w:tbl>
    <w:p w:rsidR="009B30F3" w:rsidP="00604C15">
      <w:pPr>
        <w:pStyle w:val="NoPaddingFontSize1"/>
      </w:pPr>
    </w:p>
    <w:p w:rsidR="009B30F3" w:rsidP="00604C15">
      <w:pPr>
        <w:pStyle w:val="NoPaddingFontSize1"/>
      </w:pPr>
    </w:p>
    <w:p w:rsidR="00000000" w:rsidRPr="00604C15" w:rsidP="00604C15">
      <w:pPr>
        <w:pStyle w:val="Heading1"/>
      </w:pPr>
      <w:bookmarkStart w:id="3" w:name="O_1196134"/>
      <w:bookmarkEnd w:id="3"/>
      <w:r w:rsidRPr="00604C1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 w:rsidP="00604C15">
            <w:pPr>
              <w:pStyle w:val="BodyText"/>
            </w:pPr>
            <w:r w:rsidRPr="00604C15">
              <w:t>Not applicable.</w:t>
            </w:r>
          </w:p>
        </w:tc>
      </w:tr>
    </w:tbl>
    <w:p w:rsidR="009B30F3" w:rsidP="00604C15">
      <w:pPr>
        <w:pStyle w:val="NoPaddingFontSize1"/>
      </w:pPr>
    </w:p>
    <w:p w:rsidR="009B30F3" w:rsidP="00604C15">
      <w:pPr>
        <w:pStyle w:val="NoPaddingFontSize1"/>
      </w:pPr>
    </w:p>
    <w:p w:rsidR="00000000" w:rsidRPr="00604C15" w:rsidP="00604C15">
      <w:pPr>
        <w:pStyle w:val="Heading1"/>
      </w:pPr>
      <w:bookmarkStart w:id="4" w:name="O_1196133"/>
      <w:bookmarkEnd w:id="4"/>
      <w:r w:rsidRPr="00604C1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 w:rsidP="00604C15">
            <w:pPr>
              <w:pStyle w:val="BodyText"/>
            </w:pPr>
            <w:r w:rsidRPr="00604C15">
              <w:t xml:space="preserve">F – </w:t>
            </w:r>
            <w:r w:rsidRPr="00604C15">
              <w:t>Safety Management.</w:t>
            </w:r>
          </w:p>
        </w:tc>
      </w:tr>
    </w:tbl>
    <w:p w:rsidR="009B30F3" w:rsidP="00604C15">
      <w:pPr>
        <w:pStyle w:val="NoPaddingFontSize1"/>
      </w:pPr>
    </w:p>
    <w:p w:rsidR="009B30F3" w:rsidP="00604C15">
      <w:pPr>
        <w:pStyle w:val="NoPaddingFontSize1"/>
      </w:pPr>
    </w:p>
    <w:p w:rsidR="00000000" w:rsidRPr="00604C15" w:rsidP="00604C15">
      <w:pPr>
        <w:pStyle w:val="Heading1"/>
      </w:pPr>
      <w:bookmarkStart w:id="5" w:name="O_1196132"/>
      <w:bookmarkEnd w:id="5"/>
      <w:r w:rsidRPr="00604C1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 w:rsidP="00604C15">
            <w:pPr>
              <w:pStyle w:val="BodyText"/>
            </w:pPr>
            <w:r w:rsidRPr="00604C15">
              <w:t>Not applicable.</w:t>
            </w:r>
          </w:p>
        </w:tc>
      </w:tr>
    </w:tbl>
    <w:p w:rsidR="009B30F3" w:rsidP="00604C15">
      <w:pPr>
        <w:pStyle w:val="NoPaddingFontSize1"/>
      </w:pPr>
    </w:p>
    <w:p w:rsidR="009B30F3" w:rsidP="00604C15">
      <w:pPr>
        <w:pStyle w:val="NoPaddingFontSize1"/>
      </w:pPr>
    </w:p>
    <w:p w:rsidR="00000000" w:rsidRPr="00604C15" w:rsidP="00604C15">
      <w:pPr>
        <w:pStyle w:val="Heading1"/>
      </w:pPr>
      <w:bookmarkStart w:id="6" w:name="O_1196131"/>
      <w:bookmarkEnd w:id="6"/>
      <w:r w:rsidRPr="00604C1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1"/>
        <w:gridCol w:w="2038"/>
        <w:gridCol w:w="488"/>
        <w:gridCol w:w="6409"/>
      </w:tblGrid>
      <w:tr w:rsidTr="009B30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 w:rsidP="00604C15">
            <w:pPr>
              <w:pStyle w:val="BodyText"/>
            </w:pPr>
            <w:r w:rsidRPr="00604C1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rPr>
                <w:rStyle w:val="SpecialBold"/>
              </w:rPr>
              <w:t>PERFORMANCE CRITERIA</w:t>
            </w:r>
          </w:p>
        </w:tc>
      </w:tr>
      <w:tr w:rsidTr="009B30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t xml:space="preserve">Elements describe the </w:t>
            </w:r>
            <w:r w:rsidRPr="00604C15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t xml:space="preserve">Performance criteria describe the performance needed to demonstrate </w:t>
            </w:r>
            <w:r w:rsidRPr="00604C15">
              <w:t>achievement of the element.</w:t>
            </w:r>
          </w:p>
        </w:tc>
      </w:tr>
      <w:tr w:rsidTr="009B30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 w:rsidP="00604C15">
            <w:pPr>
              <w:pStyle w:val="BodyText"/>
            </w:pPr>
            <w:r w:rsidRPr="00604C1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 w:rsidP="00604C15">
            <w:pPr>
              <w:pStyle w:val="BodyText"/>
            </w:pPr>
            <w:r w:rsidRPr="00604C15">
              <w:rPr>
                <w:rStyle w:val="SpecialBold"/>
              </w:rPr>
              <w:t>Identify and act on signs of fatigue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t>Potential causes of fatigue are identified and actions taken to minimise their effects in accordance with workplace</w:t>
            </w:r>
            <w:r w:rsidRPr="00604C15">
              <w:t xml:space="preserve"> procedures</w:t>
            </w:r>
          </w:p>
        </w:tc>
      </w:tr>
      <w:tr w:rsidTr="009B30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t>Personal warning signs of fatigue are recognised, and necessary steps are taken in accordance with workplace procedures, to ensure that effective work capability and alertness are maintained</w:t>
            </w:r>
          </w:p>
        </w:tc>
      </w:tr>
      <w:tr w:rsidTr="009B30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 w:rsidP="00604C15">
            <w:pPr>
              <w:pStyle w:val="BodyText"/>
            </w:pPr>
            <w:r w:rsidRPr="00604C1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 w:rsidP="00604C15">
            <w:pPr>
              <w:pStyle w:val="BodyText"/>
            </w:pPr>
            <w:r w:rsidRPr="00604C15">
              <w:rPr>
                <w:rStyle w:val="SpecialBold"/>
              </w:rPr>
              <w:t>Implement strategies to minimise fatigue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t>Workplace procedures are assessed to minimise fatigue</w:t>
            </w:r>
          </w:p>
        </w:tc>
      </w:tr>
      <w:tr w:rsidTr="009B30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t>Factors that increase the risk of fatigue-related accidents and incidents are minimised</w:t>
            </w:r>
          </w:p>
        </w:tc>
      </w:tr>
      <w:tr w:rsidTr="009B30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t>Fatigue management strategies are implemented in accordance with workplace policy and procedures</w:t>
            </w:r>
          </w:p>
        </w:tc>
      </w:tr>
      <w:tr w:rsidTr="009B30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t>Lifestyle choices are made that promote the effective long-term management of fatigue</w:t>
            </w:r>
          </w:p>
        </w:tc>
      </w:tr>
      <w:tr w:rsidTr="009B30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t>Effective practices in combating fatigue are adopted and applied</w:t>
            </w:r>
          </w:p>
        </w:tc>
      </w:tr>
      <w:tr w:rsidTr="009B30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t>Personal fatigue management strategies are communicated to relevant people</w:t>
            </w:r>
          </w:p>
        </w:tc>
      </w:tr>
      <w:tr w:rsidTr="009B30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rPr>
                <w:rStyle w:val="SpecialBold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 w:rsidP="00604C15">
            <w:pPr>
              <w:pStyle w:val="BodyText"/>
            </w:pPr>
            <w:r w:rsidRPr="00604C15">
              <w:t>Appropriate counter measures are planned to combat fatigue</w:t>
            </w:r>
          </w:p>
        </w:tc>
      </w:tr>
    </w:tbl>
    <w:p w:rsidR="009B30F3" w:rsidP="00604C15">
      <w:pPr>
        <w:pStyle w:val="NoPaddingFontSize1"/>
      </w:pPr>
    </w:p>
    <w:p w:rsidR="009B30F3" w:rsidP="00604C15">
      <w:pPr>
        <w:pStyle w:val="NoPaddingFontSize1"/>
      </w:pPr>
    </w:p>
    <w:p w:rsidR="00000000" w:rsidRPr="00604C15" w:rsidP="00604C15">
      <w:pPr>
        <w:pStyle w:val="Heading1"/>
      </w:pPr>
      <w:bookmarkStart w:id="7" w:name="O_1196130"/>
      <w:bookmarkEnd w:id="7"/>
      <w:r w:rsidRPr="00604C1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 w:rsidP="00604C15">
            <w:pPr>
              <w:pStyle w:val="BodyText"/>
            </w:pPr>
            <w:r w:rsidRPr="00604C15">
              <w:t>Foundation skills essential to performance are explicit in the performance criteria of this unit of competency.</w:t>
            </w:r>
          </w:p>
        </w:tc>
      </w:tr>
    </w:tbl>
    <w:p w:rsidR="009B30F3" w:rsidP="00604C15">
      <w:pPr>
        <w:pStyle w:val="NoPaddingFontSize1"/>
      </w:pPr>
    </w:p>
    <w:p w:rsidR="009B30F3" w:rsidP="00604C15">
      <w:pPr>
        <w:pStyle w:val="NoPaddingFontSize1"/>
      </w:pPr>
    </w:p>
    <w:p w:rsidR="00000000" w:rsidRPr="00604C15" w:rsidP="00604C15">
      <w:pPr>
        <w:pStyle w:val="Heading1"/>
      </w:pPr>
      <w:bookmarkStart w:id="8" w:name="O_1196129"/>
      <w:bookmarkEnd w:id="8"/>
      <w:r w:rsidRPr="00604C1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 w:rsidP="00604C15">
            <w:pPr>
              <w:pStyle w:val="BodyText"/>
            </w:pPr>
            <w:r w:rsidRPr="00604C15">
              <w:t>Range is restricted to essential operating conditions and any other variables essential to the work environment.</w:t>
            </w:r>
          </w:p>
          <w:p w:rsidR="00000000" w:rsidRPr="00604C15" w:rsidP="00604C15">
            <w:pPr>
              <w:pStyle w:val="BodyText"/>
            </w:pPr>
            <w:r w:rsidRPr="00604C15">
              <w:t>Non-essential conditions can be found in the TLI Transport and Logistics Training Package Companion Volume Implementation Guide.</w:t>
            </w:r>
          </w:p>
        </w:tc>
      </w:tr>
    </w:tbl>
    <w:p w:rsidR="009B30F3" w:rsidP="00604C15">
      <w:pPr>
        <w:pStyle w:val="NoPaddingFontSize1"/>
      </w:pPr>
    </w:p>
    <w:p w:rsidR="009B30F3" w:rsidP="00604C15">
      <w:pPr>
        <w:pStyle w:val="NoPaddingFontSize1"/>
      </w:pPr>
    </w:p>
    <w:p w:rsidR="00000000" w:rsidRPr="00604C15" w:rsidP="00604C15">
      <w:pPr>
        <w:pStyle w:val="Heading1"/>
      </w:pPr>
      <w:bookmarkStart w:id="9" w:name="O_1196128"/>
      <w:bookmarkEnd w:id="9"/>
      <w:r w:rsidRPr="00604C1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 w:rsidP="00604C15">
            <w:pPr>
              <w:pStyle w:val="BodyText"/>
            </w:pPr>
            <w:r w:rsidRPr="00604C15">
              <w:t>This unit replaces and is equivalent to TLIF2010A Apply fatigue management strategies.</w:t>
            </w:r>
          </w:p>
        </w:tc>
      </w:tr>
    </w:tbl>
    <w:p w:rsidR="009B30F3" w:rsidP="00604C15">
      <w:pPr>
        <w:pStyle w:val="NoPaddingFontSize1"/>
      </w:pPr>
    </w:p>
    <w:p w:rsidR="009B30F3" w:rsidP="00604C15">
      <w:pPr>
        <w:pStyle w:val="NoPaddingFontSize1"/>
      </w:pPr>
    </w:p>
    <w:p w:rsidR="00000000" w:rsidRPr="00604C15" w:rsidP="00604C15">
      <w:pPr>
        <w:pStyle w:val="Heading1"/>
      </w:pPr>
      <w:bookmarkStart w:id="10" w:name="O_1196137"/>
      <w:bookmarkEnd w:id="10"/>
      <w:r w:rsidRPr="00604C15">
        <w:t>Links</w:t>
      </w:r>
    </w:p>
    <w:p w:rsidR="00000000" w:rsidRPr="00604C15" w:rsidP="009B30F3">
      <w:pPr>
        <w:pStyle w:val="BodyText"/>
      </w:pPr>
      <w:r w:rsidRPr="00604C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06D1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04C15" w:rsidP="009B30F3">
      <w:pPr>
        <w:pStyle w:val="BodyText"/>
        <w:sectPr w:rsidSect="00604C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4C15" w:rsidP="00604C15">
      <w:pPr>
        <w:pStyle w:val="SuperHeading"/>
      </w:pPr>
      <w:r w:rsidRPr="00604C15">
        <w:t>Assessment Requirements for TLIF2010 Apply fatigue management strategies</w:t>
      </w:r>
    </w:p>
    <w:p w:rsidR="00000000" w:rsidRPr="00604C15" w:rsidP="00604C15">
      <w:pPr>
        <w:pStyle w:val="Heading1"/>
      </w:pPr>
      <w:bookmarkStart w:id="11" w:name="O_1196126"/>
      <w:bookmarkEnd w:id="11"/>
      <w:r w:rsidRPr="00604C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 w:rsidP="00604C15">
            <w:pPr>
              <w:pStyle w:val="BodyText"/>
            </w:pPr>
            <w:r w:rsidRPr="00604C15">
              <w:rPr>
                <w:rStyle w:val="SpecialBold"/>
              </w:rPr>
              <w:t>Release 2.</w:t>
            </w:r>
            <w:r w:rsidRPr="00604C15">
              <w:t xml:space="preserve"> This is the second release of this unit of com</w:t>
            </w:r>
            <w:r w:rsidRPr="00604C15">
              <w:t xml:space="preserve">petency in the TLI Transport and Logistics Training Package.  </w:t>
            </w:r>
          </w:p>
          <w:p w:rsidR="00000000" w:rsidRPr="00604C15" w:rsidP="00604C15">
            <w:pPr>
              <w:pStyle w:val="ListBullet2"/>
            </w:pPr>
            <w:r w:rsidRPr="00604C15">
              <w:t>Minor changes to unit Application</w:t>
            </w:r>
          </w:p>
          <w:p w:rsidR="00000000" w:rsidP="00604C15">
            <w:pPr>
              <w:pStyle w:val="ListBullet2"/>
              <w:rPr>
                <w:lang w:val="en-NZ"/>
              </w:rPr>
            </w:pPr>
            <w:r w:rsidRPr="00604C15">
              <w:t>Minor changes to Assessment Conditions.</w:t>
            </w:r>
          </w:p>
        </w:tc>
      </w:tr>
      <w:tr w:rsidTr="00604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 w:rsidP="00604C15">
            <w:pPr>
              <w:pStyle w:val="BodyText"/>
            </w:pPr>
            <w:r w:rsidRPr="00604C15">
              <w:rPr>
                <w:rStyle w:val="SpecialBold"/>
              </w:rPr>
              <w:t>Release 1.</w:t>
            </w:r>
            <w:r w:rsidRPr="00604C15">
              <w:t xml:space="preserve"> This is the first release of this unit of competency in the TLI Transport and Logistics Training Package.</w:t>
            </w:r>
          </w:p>
        </w:tc>
      </w:tr>
    </w:tbl>
    <w:p w:rsidR="009B30F3" w:rsidP="00604C15">
      <w:pPr>
        <w:pStyle w:val="NoPaddingFontSize1"/>
      </w:pPr>
    </w:p>
    <w:p w:rsidR="009B30F3" w:rsidP="00604C15">
      <w:pPr>
        <w:pStyle w:val="NoPaddingFontSize1"/>
      </w:pPr>
    </w:p>
    <w:p w:rsidR="00000000" w:rsidRPr="00604C15" w:rsidP="00604C15">
      <w:pPr>
        <w:pStyle w:val="Heading1"/>
      </w:pPr>
      <w:bookmarkStart w:id="12" w:name="O_1196125"/>
      <w:bookmarkEnd w:id="12"/>
      <w:r w:rsidRPr="00604C1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604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 w:rsidP="00604C15">
            <w:pPr>
              <w:pStyle w:val="ListBullet"/>
            </w:pPr>
            <w:r w:rsidRPr="00604C15">
              <w:t>adapting to changes in rosters and standard operating procedures (SOPs) as they relate to fatigue management</w:t>
            </w:r>
          </w:p>
          <w:p w:rsidR="00000000" w:rsidRPr="00604C15" w:rsidP="00604C15">
            <w:pPr>
              <w:pStyle w:val="ListBullet"/>
            </w:pPr>
            <w:r w:rsidRPr="00604C15">
              <w:t>adjusting lifestyle patterns to ensure effective fatigue management during work activities</w:t>
            </w:r>
          </w:p>
          <w:p w:rsidR="00000000" w:rsidRPr="00604C15" w:rsidP="00604C15">
            <w:pPr>
              <w:pStyle w:val="ListBullet"/>
            </w:pPr>
            <w:r w:rsidRPr="00604C15">
              <w:t>applying precautions and required actions to minimise an</w:t>
            </w:r>
            <w:r w:rsidRPr="00604C15">
              <w:t>d control the effects of fatigue when carrying out own work functions</w:t>
            </w:r>
          </w:p>
          <w:p w:rsidR="00000000" w:rsidRPr="00604C15" w:rsidP="00604C15">
            <w:pPr>
              <w:pStyle w:val="ListBullet"/>
            </w:pPr>
            <w:r w:rsidRPr="00604C15">
              <w:t>applying relevant legislation and workplace procedures</w:t>
            </w:r>
          </w:p>
          <w:p w:rsidR="00000000" w:rsidRPr="00604C15" w:rsidP="00604C15">
            <w:pPr>
              <w:pStyle w:val="ListBullet"/>
            </w:pPr>
            <w:r w:rsidRPr="00604C15">
              <w:t>communicating effectively with others when applying fatigue management strategies</w:t>
            </w:r>
          </w:p>
          <w:p w:rsidR="00000000" w:rsidRPr="00604C15" w:rsidP="00604C15">
            <w:pPr>
              <w:pStyle w:val="ListBullet"/>
            </w:pPr>
            <w:r w:rsidRPr="00604C15">
              <w:t xml:space="preserve">identifying and meeting own learning needs about </w:t>
            </w:r>
            <w:r w:rsidRPr="00604C15">
              <w:t>fatigue management related matters</w:t>
            </w:r>
          </w:p>
          <w:p w:rsidR="00000000" w:rsidRPr="00604C15" w:rsidP="00604C15">
            <w:pPr>
              <w:pStyle w:val="ListBullet"/>
            </w:pPr>
            <w:r w:rsidRPr="00604C15">
              <w:t>modifying activities and taking appropriate initiatives to manage fatigue in the workplace depending on work contexts, risk situations and environments</w:t>
            </w:r>
          </w:p>
          <w:p w:rsidR="00000000" w:rsidRPr="00604C15" w:rsidP="00604C15">
            <w:pPr>
              <w:pStyle w:val="ListBullet"/>
            </w:pPr>
            <w:r w:rsidRPr="00604C15">
              <w:t>reading and interpreting instructions, procedures, regulations and si</w:t>
            </w:r>
            <w:r w:rsidRPr="00604C15">
              <w:t>gns related to fatigue management and applying them to work activities</w:t>
            </w:r>
          </w:p>
          <w:p w:rsidR="00000000" w:rsidRPr="00604C15" w:rsidP="00604C15">
            <w:pPr>
              <w:pStyle w:val="ListBullet"/>
            </w:pPr>
            <w:r w:rsidRPr="00604C15">
              <w:t>recognising symptoms of fatigue and taking appropriate actions in accordance with fatigue management regulations and workplace procedures</w:t>
            </w:r>
          </w:p>
          <w:p w:rsidR="00000000" w:rsidRPr="00604C15" w:rsidP="00604C15">
            <w:pPr>
              <w:pStyle w:val="ListBullet"/>
            </w:pPr>
            <w:r w:rsidRPr="00604C15">
              <w:t>working collaboratively with others to manage a</w:t>
            </w:r>
            <w:r w:rsidRPr="00604C15">
              <w:t>nd minimise the effects of fatigue during work activities.</w:t>
            </w:r>
          </w:p>
        </w:tc>
      </w:tr>
    </w:tbl>
    <w:p w:rsidR="00000000" w:rsidRPr="00604C15" w:rsidP="00604C15">
      <w:pPr>
        <w:pStyle w:val="NoPaddingFontSize1"/>
      </w:pPr>
    </w:p>
    <w:p w:rsidR="00000000" w:rsidRPr="00604C15" w:rsidP="00604C15">
      <w:pPr>
        <w:pStyle w:val="AllowPageBreak"/>
      </w:pPr>
    </w:p>
    <w:p w:rsidR="00000000" w:rsidRPr="00604C15" w:rsidP="00604C15">
      <w:pPr>
        <w:pStyle w:val="Heading1"/>
      </w:pPr>
      <w:bookmarkStart w:id="13" w:name="O_1196124"/>
      <w:bookmarkEnd w:id="13"/>
      <w:r w:rsidRPr="00604C1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15">
            <w:pPr>
              <w:pStyle w:val="BodyText"/>
              <w:rPr>
                <w:lang w:val="en-NZ"/>
              </w:rPr>
            </w:pPr>
            <w:r w:rsidRPr="00604C15">
              <w:t xml:space="preserve">Evidence required to demonstrate competence in this unit must be relevant to and satisfy all the requirements of the elements and performance criteria and </w:t>
            </w:r>
            <w:r w:rsidRPr="00604C15">
              <w:t>include knowledge of:</w:t>
            </w:r>
          </w:p>
        </w:tc>
      </w:tr>
      <w:tr w:rsidTr="00604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 w:rsidP="00604C15">
            <w:pPr>
              <w:pStyle w:val="ListBullet"/>
            </w:pPr>
            <w:r w:rsidRPr="00604C15">
              <w:t>causes and effects of fatigue on workers</w:t>
            </w:r>
          </w:p>
          <w:p w:rsidR="00000000" w:rsidRPr="00604C15" w:rsidP="00604C15">
            <w:pPr>
              <w:pStyle w:val="ListBullet"/>
            </w:pPr>
            <w:r w:rsidRPr="00604C15">
              <w:t>factors that increase fatigue-related accidents</w:t>
            </w:r>
          </w:p>
          <w:p w:rsidR="00000000" w:rsidRPr="00604C15" w:rsidP="00604C15">
            <w:pPr>
              <w:pStyle w:val="ListBullet"/>
            </w:pPr>
            <w:r w:rsidRPr="00604C15">
              <w:t>how fatigue affects workplace performance</w:t>
            </w:r>
          </w:p>
          <w:p w:rsidR="00000000" w:rsidRPr="00604C15" w:rsidP="00604C15">
            <w:pPr>
              <w:pStyle w:val="ListBullet"/>
            </w:pPr>
            <w:r w:rsidRPr="00604C15">
              <w:t>how fatigue contributes to workplace accidents</w:t>
            </w:r>
          </w:p>
          <w:p w:rsidR="00000000" w:rsidRPr="00604C15" w:rsidP="00604C15">
            <w:pPr>
              <w:pStyle w:val="ListBullet"/>
            </w:pPr>
            <w:r w:rsidRPr="00604C15">
              <w:t>lifestyles that promote effective long-term fatigue ma</w:t>
            </w:r>
            <w:r w:rsidRPr="00604C15">
              <w:t xml:space="preserve">nagement </w:t>
            </w:r>
          </w:p>
          <w:p w:rsidR="00000000" w:rsidRPr="00604C15" w:rsidP="00604C15">
            <w:pPr>
              <w:pStyle w:val="ListBullet"/>
            </w:pPr>
            <w:r w:rsidRPr="00604C15">
              <w:t>relevant fatigue management codes, regulations, permit and licence requirements</w:t>
            </w:r>
          </w:p>
          <w:p w:rsidR="00000000" w:rsidRPr="00604C15" w:rsidP="00604C15">
            <w:pPr>
              <w:pStyle w:val="ListBullet"/>
            </w:pPr>
            <w:r w:rsidRPr="00604C15">
              <w:t>relevant work health and safety (WHS)/occupational health and safety (OHS) regulations as they relate to fatigue</w:t>
            </w:r>
          </w:p>
          <w:p w:rsidR="00000000" w:rsidRPr="00604C15" w:rsidP="00604C15">
            <w:pPr>
              <w:pStyle w:val="ListBullet"/>
            </w:pPr>
            <w:r w:rsidRPr="00604C15">
              <w:t xml:space="preserve">risks and hazards created by workplace fatigue </w:t>
            </w:r>
          </w:p>
          <w:p w:rsidR="00000000" w:rsidRPr="00604C15" w:rsidP="00604C15">
            <w:pPr>
              <w:pStyle w:val="ListBullet"/>
            </w:pPr>
            <w:r w:rsidRPr="00604C15">
              <w:t>sourc</w:t>
            </w:r>
            <w:r w:rsidRPr="00604C15">
              <w:t>es of information on fatigue</w:t>
            </w:r>
          </w:p>
          <w:p w:rsidR="00000000" w:rsidRPr="00604C15" w:rsidP="00604C15">
            <w:pPr>
              <w:pStyle w:val="ListBullet"/>
            </w:pPr>
            <w:r w:rsidRPr="00604C15">
              <w:t>strategies and ways of managing fatigue</w:t>
            </w:r>
          </w:p>
          <w:p w:rsidR="00000000" w:rsidRPr="00604C15" w:rsidP="00604C15">
            <w:pPr>
              <w:pStyle w:val="ListBullet"/>
            </w:pPr>
            <w:r w:rsidRPr="00604C15">
              <w:t>ways of recognising fatigue</w:t>
            </w:r>
          </w:p>
          <w:p w:rsidR="00000000" w:rsidRPr="00604C15" w:rsidP="00604C15">
            <w:pPr>
              <w:pStyle w:val="ListBullet"/>
            </w:pPr>
            <w:r w:rsidRPr="00604C15">
              <w:t>workplace policies and procedures related to fatigue management and the control of factors that can contribute to fatigue and fatigue-related accidents.</w:t>
            </w:r>
          </w:p>
        </w:tc>
      </w:tr>
    </w:tbl>
    <w:p w:rsidR="00000000" w:rsidRPr="00604C15" w:rsidP="00604C15">
      <w:pPr>
        <w:pStyle w:val="NoPaddingFontSize1"/>
      </w:pPr>
    </w:p>
    <w:p w:rsidR="00000000" w:rsidRPr="00604C15" w:rsidP="00604C15">
      <w:pPr>
        <w:pStyle w:val="AllowPageBreak"/>
      </w:pPr>
    </w:p>
    <w:p w:rsidR="00000000" w:rsidRPr="00604C15" w:rsidP="00604C15">
      <w:pPr>
        <w:pStyle w:val="Heading1"/>
      </w:pPr>
      <w:bookmarkStart w:id="14" w:name="O_1196123"/>
      <w:bookmarkEnd w:id="14"/>
      <w:r w:rsidRPr="00604C1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4C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15" w:rsidP="00604C15">
            <w:pPr>
              <w:pStyle w:val="BodyText"/>
            </w:pPr>
            <w:r w:rsidRPr="00604C15">
              <w:t xml:space="preserve">Assessors must hold credentials specified within the Standards for Registered Training Organisations current at the time of assessment. </w:t>
            </w:r>
          </w:p>
          <w:p w:rsidR="00000000" w:rsidRPr="00604C15" w:rsidP="00604C15">
            <w:pPr>
              <w:pStyle w:val="BodyText"/>
            </w:pPr>
            <w:r w:rsidRPr="00604C15">
              <w:t xml:space="preserve">Assessment must satisfy the Principles of Assessment and Rules of Evidence and </w:t>
            </w:r>
            <w:r w:rsidRPr="00604C15">
              <w:t>all regulatory requirements included within the Standards for Registered Training Organisations current at the time of assessment.</w:t>
            </w:r>
          </w:p>
          <w:p w:rsidR="00000000" w:rsidRPr="00604C15" w:rsidP="00604C15">
            <w:pPr>
              <w:pStyle w:val="BodyText"/>
            </w:pPr>
            <w:r w:rsidRPr="00604C15">
              <w:t>Assessment must occur in workplace operational situations where it is appropriate to do so; where this is not appropriate, as</w:t>
            </w:r>
            <w:r w:rsidRPr="00604C15">
              <w:t>sessment must occur in simulated workplace operational situations that replicate workplace conditions.</w:t>
            </w:r>
          </w:p>
          <w:p w:rsidR="00000000" w:rsidRPr="00604C15" w:rsidP="00604C15">
            <w:pPr>
              <w:pStyle w:val="BodyText"/>
            </w:pPr>
            <w:r w:rsidRPr="00604C15">
              <w:t xml:space="preserve">Assessment processes and techniques must be appropriate to the language, literacy and numeracy requirements of the work being performed and the needs of </w:t>
            </w:r>
            <w:r w:rsidRPr="00604C15">
              <w:t>the candidate.</w:t>
            </w:r>
          </w:p>
          <w:p w:rsidR="00000000" w:rsidRPr="00604C15" w:rsidP="00604C15">
            <w:pPr>
              <w:pStyle w:val="BodyText"/>
            </w:pPr>
            <w:r w:rsidRPr="00604C15">
              <w:t>Resources for assessment must include access to:</w:t>
            </w:r>
          </w:p>
          <w:p w:rsidR="00000000" w:rsidRPr="00604C15" w:rsidP="00604C15">
            <w:pPr>
              <w:pStyle w:val="ListBullet2"/>
            </w:pPr>
            <w:r w:rsidRPr="00604C15">
              <w:t>a range of relevant exercises, case studies and/or simulations</w:t>
            </w:r>
          </w:p>
          <w:p w:rsidR="00000000" w:rsidRPr="00604C15" w:rsidP="00604C15">
            <w:pPr>
              <w:pStyle w:val="ListBullet2"/>
            </w:pPr>
            <w:r w:rsidRPr="00604C15">
              <w:t xml:space="preserve">relevant and appropriate materials, tools, equipment and personal protective (PPE) equipment currently used in industry </w:t>
            </w:r>
          </w:p>
          <w:p w:rsidR="00000000" w:rsidRPr="00604C15" w:rsidP="00604C15">
            <w:pPr>
              <w:pStyle w:val="ListBullet2"/>
            </w:pPr>
            <w:r w:rsidRPr="00604C15">
              <w:t>applicable documentation, including legislation, regulations, codes of practice, workplace procedures and operation manuals.</w:t>
            </w:r>
          </w:p>
        </w:tc>
      </w:tr>
    </w:tbl>
    <w:p w:rsidR="00000000" w:rsidRPr="00604C15" w:rsidP="00604C15">
      <w:pPr>
        <w:pStyle w:val="NoPaddingFontSize1"/>
      </w:pPr>
    </w:p>
    <w:p w:rsidR="00000000" w:rsidRPr="00604C15" w:rsidP="00604C15">
      <w:pPr>
        <w:pStyle w:val="AllowPageBreak"/>
      </w:pPr>
    </w:p>
    <w:p w:rsidR="00000000" w:rsidRPr="00604C15" w:rsidP="00604C15">
      <w:pPr>
        <w:pStyle w:val="Heading1"/>
      </w:pPr>
      <w:bookmarkStart w:id="15" w:name="O_1196138"/>
      <w:bookmarkEnd w:id="15"/>
      <w:r w:rsidRPr="00604C15">
        <w:t>Links</w:t>
      </w:r>
    </w:p>
    <w:p w:rsidR="00000000" w:rsidRPr="00604C15" w:rsidP="009B30F3">
      <w:pPr>
        <w:pStyle w:val="BodyText"/>
      </w:pPr>
      <w:r w:rsidRPr="00604C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06D1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04C15" w:rsidP="00604C15"/>
    <w:sectPr w:rsidSect="00604C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15" w:rsidRPr="009B30F3" w:rsidP="009B30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F3" w:rsidP="00604C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30F3" w:rsidP="00604C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B30F3" w:rsidP="00604C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15" w:rsidP="00604C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30F3">
      <w:t>Approved</w:t>
    </w:r>
    <w:r w:rsidR="009B30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30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30F3">
      <w:rPr>
        <w:noProof/>
      </w:rPr>
      <w:t>4</w:t>
    </w:r>
    <w:r>
      <w:rPr>
        <w:noProof/>
      </w:rPr>
      <w:fldChar w:fldCharType="end"/>
    </w:r>
  </w:p>
  <w:p w:rsidR="00604C15" w:rsidP="00604C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30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30F3">
      <w:t>Industry Skills Australia</w:t>
    </w:r>
    <w:r w:rsidR="009B30F3">
      <w:fldChar w:fldCharType="end"/>
    </w:r>
  </w:p>
  <w:p w:rsidR="00604C15" w:rsidP="00604C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C15" w:rsidRPr="009B30F3" w:rsidP="009B30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0F3" w:rsidRPr="002D2AF8" w:rsidP="00604C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TLIF2010 Apply fatigue management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30F3" w:rsidP="00604C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15" w:rsidRPr="002D2AF8" w:rsidP="00604C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30F3">
      <w:t>TLIF2010 Apply fatigue management strategies</w:t>
    </w:r>
    <w:r w:rsidR="009B30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30F3">
      <w:rPr>
        <w:noProof/>
      </w:rPr>
      <w:t>2 March 2025</w:t>
    </w:r>
    <w:r>
      <w:fldChar w:fldCharType="end"/>
    </w:r>
  </w:p>
  <w:p w:rsidR="00604C15" w:rsidP="00604C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468B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525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985F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C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C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C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C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C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C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C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C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C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C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C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C15"/>
  </w:style>
  <w:style w:type="character" w:customStyle="1" w:styleId="Heading1Char">
    <w:name w:val="Heading 1 Char"/>
    <w:basedOn w:val="DefaultParagraphFont"/>
    <w:link w:val="Heading1"/>
    <w:rsid w:val="00604C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C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C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C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4C15"/>
    <w:rPr>
      <w:b/>
      <w:spacing w:val="0"/>
    </w:rPr>
  </w:style>
  <w:style w:type="paragraph" w:styleId="ListBullet2">
    <w:name w:val="List Bullet 2"/>
    <w:basedOn w:val="List2"/>
    <w:rsid w:val="00604C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4C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C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4C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C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C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C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C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C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C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C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C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C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C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C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C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C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C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C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C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C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C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C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C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4C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C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C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C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C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C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C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C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C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4C15"/>
    <w:rPr>
      <w:i/>
    </w:rPr>
  </w:style>
  <w:style w:type="paragraph" w:styleId="Caption">
    <w:name w:val="caption"/>
    <w:basedOn w:val="BodyText"/>
    <w:next w:val="Normal"/>
    <w:qFormat/>
    <w:rsid w:val="00604C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C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C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C15"/>
  </w:style>
  <w:style w:type="paragraph" w:styleId="TableofFigures">
    <w:name w:val="table of figures"/>
    <w:basedOn w:val="Normal"/>
    <w:next w:val="Normal"/>
    <w:semiHidden/>
    <w:rsid w:val="00604C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C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4C15"/>
    <w:rPr>
      <w:rFonts w:ascii="Wingdings" w:hAnsi="Wingdings"/>
    </w:rPr>
  </w:style>
  <w:style w:type="paragraph" w:customStyle="1" w:styleId="TableHeading">
    <w:name w:val="Table Heading"/>
    <w:basedOn w:val="HeadingBase"/>
    <w:rsid w:val="00604C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C15"/>
    <w:rPr>
      <w:color w:val="0033CC"/>
      <w:u w:val="none"/>
    </w:rPr>
  </w:style>
  <w:style w:type="paragraph" w:customStyle="1" w:styleId="BodyTextRight">
    <w:name w:val="Body Text Right"/>
    <w:basedOn w:val="BodyText"/>
    <w:rsid w:val="00604C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C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C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C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C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C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C15"/>
    <w:rPr>
      <w:sz w:val="32"/>
    </w:rPr>
  </w:style>
  <w:style w:type="paragraph" w:customStyle="1" w:styleId="HeadingProcedure">
    <w:name w:val="Heading Procedure"/>
    <w:basedOn w:val="HeadingBase"/>
    <w:next w:val="Normal"/>
    <w:rsid w:val="00604C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C15"/>
    <w:pPr>
      <w:spacing w:before="60" w:after="60"/>
    </w:pPr>
  </w:style>
  <w:style w:type="paragraph" w:styleId="ListContinue">
    <w:name w:val="List Continue"/>
    <w:basedOn w:val="List"/>
    <w:rsid w:val="00604C15"/>
    <w:pPr>
      <w:ind w:firstLine="0"/>
    </w:pPr>
  </w:style>
  <w:style w:type="paragraph" w:customStyle="1" w:styleId="ListNote">
    <w:name w:val="List Note"/>
    <w:basedOn w:val="List"/>
    <w:rsid w:val="00604C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C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C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C15"/>
    <w:rPr>
      <w:rFonts w:ascii="Courier New" w:hAnsi="Courier New"/>
    </w:rPr>
  </w:style>
  <w:style w:type="paragraph" w:customStyle="1" w:styleId="NoteBullet">
    <w:name w:val="Note Bullet"/>
    <w:basedOn w:val="Note"/>
    <w:rsid w:val="00604C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C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C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C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C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4C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C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C15"/>
    <w:rPr>
      <w:b/>
      <w:smallCaps/>
    </w:rPr>
  </w:style>
  <w:style w:type="paragraph" w:customStyle="1" w:styleId="TableListNumber">
    <w:name w:val="Table List Number"/>
    <w:basedOn w:val="ListNumber"/>
    <w:rsid w:val="00604C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C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C15"/>
    <w:pPr>
      <w:numPr>
        <w:numId w:val="9"/>
      </w:numPr>
    </w:pPr>
  </w:style>
  <w:style w:type="paragraph" w:customStyle="1" w:styleId="ListAlpha2">
    <w:name w:val="List Alpha 2"/>
    <w:basedOn w:val="List2"/>
    <w:rsid w:val="00604C15"/>
    <w:pPr>
      <w:numPr>
        <w:numId w:val="8"/>
      </w:numPr>
    </w:pPr>
  </w:style>
  <w:style w:type="paragraph" w:styleId="List2">
    <w:name w:val="List 2"/>
    <w:basedOn w:val="BodyText"/>
    <w:rsid w:val="00604C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C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C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C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C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C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4C15"/>
    <w:pPr>
      <w:numPr>
        <w:numId w:val="4"/>
      </w:numPr>
    </w:pPr>
  </w:style>
  <w:style w:type="paragraph" w:styleId="ListContinue2">
    <w:name w:val="List Continue 2"/>
    <w:basedOn w:val="List2"/>
    <w:rsid w:val="00604C15"/>
    <w:pPr>
      <w:ind w:firstLine="0"/>
    </w:pPr>
  </w:style>
  <w:style w:type="paragraph" w:styleId="ListContinue3">
    <w:name w:val="List Continue 3"/>
    <w:basedOn w:val="List3"/>
    <w:rsid w:val="00604C15"/>
    <w:pPr>
      <w:ind w:left="1021" w:firstLine="0"/>
    </w:pPr>
  </w:style>
  <w:style w:type="paragraph" w:styleId="ListContinue4">
    <w:name w:val="List Continue 4"/>
    <w:basedOn w:val="List4"/>
    <w:rsid w:val="00604C15"/>
    <w:pPr>
      <w:ind w:firstLine="0"/>
    </w:pPr>
  </w:style>
  <w:style w:type="paragraph" w:styleId="ListContinue5">
    <w:name w:val="List Continue 5"/>
    <w:basedOn w:val="List5"/>
    <w:rsid w:val="00604C15"/>
    <w:pPr>
      <w:ind w:firstLine="0"/>
    </w:pPr>
  </w:style>
  <w:style w:type="paragraph" w:styleId="ListNumber3">
    <w:name w:val="List Number 3"/>
    <w:basedOn w:val="List3"/>
    <w:rsid w:val="00604C15"/>
    <w:pPr>
      <w:numPr>
        <w:numId w:val="5"/>
      </w:numPr>
    </w:pPr>
  </w:style>
  <w:style w:type="paragraph" w:styleId="ListNumber4">
    <w:name w:val="List Number 4"/>
    <w:basedOn w:val="List4"/>
    <w:rsid w:val="00604C15"/>
    <w:pPr>
      <w:numPr>
        <w:numId w:val="6"/>
      </w:numPr>
    </w:pPr>
  </w:style>
  <w:style w:type="paragraph" w:styleId="ListNumber5">
    <w:name w:val="List Number 5"/>
    <w:basedOn w:val="List5"/>
    <w:rsid w:val="00604C15"/>
    <w:pPr>
      <w:numPr>
        <w:numId w:val="7"/>
      </w:numPr>
    </w:pPr>
  </w:style>
  <w:style w:type="paragraph" w:styleId="BlockText">
    <w:name w:val="Block Text"/>
    <w:basedOn w:val="Normal"/>
    <w:rsid w:val="00604C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C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C15"/>
    <w:rPr>
      <w:sz w:val="16"/>
      <w:vertAlign w:val="superscript"/>
    </w:rPr>
  </w:style>
  <w:style w:type="character" w:customStyle="1" w:styleId="Symbols">
    <w:name w:val="Symbols"/>
    <w:basedOn w:val="DefaultParagraphFont"/>
    <w:rsid w:val="00604C15"/>
    <w:rPr>
      <w:rFonts w:ascii="Symbol" w:hAnsi="Symbol"/>
    </w:rPr>
  </w:style>
  <w:style w:type="character" w:customStyle="1" w:styleId="MenuOptions">
    <w:name w:val="Menu Options"/>
    <w:basedOn w:val="DefaultParagraphFont"/>
    <w:rsid w:val="00604C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C15"/>
    <w:rPr>
      <w:b/>
    </w:rPr>
  </w:style>
  <w:style w:type="character" w:customStyle="1" w:styleId="Underlined">
    <w:name w:val="Underlined"/>
    <w:basedOn w:val="DefaultParagraphFont"/>
    <w:rsid w:val="00604C15"/>
    <w:rPr>
      <w:u w:val="single"/>
    </w:rPr>
  </w:style>
  <w:style w:type="paragraph" w:customStyle="1" w:styleId="TableBodyTextRight">
    <w:name w:val="Table Body Text Right"/>
    <w:basedOn w:val="TableBodyText"/>
    <w:rsid w:val="00604C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C15"/>
    <w:rPr>
      <w:sz w:val="18"/>
    </w:rPr>
  </w:style>
  <w:style w:type="paragraph" w:customStyle="1" w:styleId="BodySmallRight">
    <w:name w:val="Body Small Right"/>
    <w:basedOn w:val="BodyTextRight"/>
    <w:rsid w:val="00604C15"/>
    <w:rPr>
      <w:sz w:val="18"/>
      <w:szCs w:val="18"/>
    </w:rPr>
  </w:style>
  <w:style w:type="paragraph" w:customStyle="1" w:styleId="MarginEdition">
    <w:name w:val="Margin Edition"/>
    <w:basedOn w:val="MarginNote"/>
    <w:rsid w:val="00604C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C15"/>
    <w:rPr>
      <w:sz w:val="2"/>
      <w:szCs w:val="2"/>
    </w:rPr>
  </w:style>
  <w:style w:type="character" w:customStyle="1" w:styleId="Small">
    <w:name w:val="Small"/>
    <w:basedOn w:val="DefaultParagraphFont"/>
    <w:rsid w:val="00604C15"/>
    <w:rPr>
      <w:sz w:val="16"/>
    </w:rPr>
  </w:style>
  <w:style w:type="paragraph" w:customStyle="1" w:styleId="WideTable">
    <w:name w:val="Wide Table"/>
    <w:basedOn w:val="Normal"/>
    <w:rsid w:val="00604C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C15"/>
  </w:style>
  <w:style w:type="paragraph" w:styleId="Quote">
    <w:name w:val="Quote"/>
    <w:basedOn w:val="Heading1"/>
    <w:link w:val="QuoteChar"/>
    <w:qFormat/>
    <w:rsid w:val="00604C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C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C15"/>
    <w:pPr>
      <w:pageBreakBefore/>
    </w:pPr>
  </w:style>
  <w:style w:type="paragraph" w:customStyle="1" w:styleId="Border">
    <w:name w:val="Border"/>
    <w:basedOn w:val="Normal"/>
    <w:qFormat/>
    <w:rsid w:val="00604C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C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C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C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C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C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C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C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C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C15"/>
    <w:rPr>
      <w:u w:val="single"/>
    </w:rPr>
  </w:style>
  <w:style w:type="character" w:customStyle="1" w:styleId="BoldandItalics">
    <w:name w:val="Bold and Italics"/>
    <w:qFormat/>
    <w:rsid w:val="00604C15"/>
    <w:rPr>
      <w:b/>
      <w:i/>
      <w:u w:val="none"/>
    </w:rPr>
  </w:style>
  <w:style w:type="paragraph" w:styleId="BalloonText">
    <w:name w:val="Balloon Text"/>
    <w:basedOn w:val="Normal"/>
    <w:link w:val="BalloonTextChar"/>
    <w:rsid w:val="00604C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C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C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C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C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C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C15"/>
    <w:pPr>
      <w:spacing w:before="0" w:after="0"/>
    </w:pPr>
  </w:style>
  <w:style w:type="paragraph" w:customStyle="1" w:styleId="BodyTextBold">
    <w:name w:val="Body Text Bold"/>
    <w:basedOn w:val="BodyText"/>
    <w:qFormat/>
    <w:rsid w:val="00604C15"/>
    <w:rPr>
      <w:b/>
    </w:rPr>
  </w:style>
  <w:style w:type="character" w:styleId="Hyperlink">
    <w:name w:val="Hyperlink"/>
    <w:basedOn w:val="DefaultParagraphFont"/>
    <w:uiPriority w:val="99"/>
    <w:unhideWhenUsed/>
    <w:rsid w:val="009B30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973</Words>
  <Characters>6307</Characters>
  <Application>Microsoft Office Word</Application>
  <DocSecurity>0</DocSecurity>
  <Lines>197</Lines>
  <Paragraphs>119</Paragraphs>
  <ScaleCrop>false</ScaleCrop>
  <Company>Author-it Software Corporation Ltd.</Company>
  <LinksUpToDate>false</LinksUpToDate>
  <CharactersWithSpaces>7161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TLIF2010 Apply fatigue management strategies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2025-03-02T01:44:00Z</dcterms:created>
  <dcterms:modified xsi:type="dcterms:W3CDTF">2025-03-02T01:44:00Z</dcterms:modified>
</cp:coreProperties>
</file>