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034" w:rsidP="00341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TLIF2010 Apply fatigue management strategies</w:t>
      </w:r>
      <w:r>
        <w:fldChar w:fldCharType="end"/>
      </w:r>
    </w:p>
    <w:p w:rsidR="00341034" w:rsidP="00341034">
      <w:pPr>
        <w:pStyle w:val="Version"/>
        <w:sectPr w:rsidSect="003950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50D2" w:rsidP="003950D2">
      <w:pPr>
        <w:pStyle w:val="SuperHeading"/>
      </w:pPr>
      <w:r w:rsidRPr="003950D2">
        <w:t>Assessment Requirements for TLIF2010 Apply fatigue management strategies</w:t>
      </w:r>
    </w:p>
    <w:p w:rsidR="00000000" w:rsidRPr="003950D2" w:rsidP="003950D2">
      <w:pPr>
        <w:pStyle w:val="Heading1"/>
      </w:pPr>
      <w:bookmarkStart w:id="1" w:name="O_1196126"/>
      <w:bookmarkEnd w:id="1"/>
      <w:r w:rsidRPr="003950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0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0D2" w:rsidP="003950D2">
            <w:pPr>
              <w:pStyle w:val="BodyText"/>
            </w:pPr>
            <w:r w:rsidRPr="003950D2">
              <w:rPr>
                <w:rStyle w:val="SpecialBold"/>
              </w:rPr>
              <w:t>Release 2.</w:t>
            </w:r>
            <w:r w:rsidRPr="003950D2">
              <w:t xml:space="preserve"> This is the second release of this unit of competency in the TLI Transport and Logistics Training Package.  </w:t>
            </w:r>
          </w:p>
          <w:p w:rsidR="00000000" w:rsidRPr="003950D2" w:rsidP="003950D2">
            <w:pPr>
              <w:pStyle w:val="ListBullet2"/>
            </w:pPr>
            <w:r w:rsidRPr="003950D2">
              <w:t>Minor changes to unit Application</w:t>
            </w:r>
          </w:p>
          <w:p w:rsidR="00000000" w:rsidP="003950D2">
            <w:pPr>
              <w:pStyle w:val="ListBullet2"/>
              <w:rPr>
                <w:lang w:val="en-NZ"/>
              </w:rPr>
            </w:pPr>
            <w:r w:rsidRPr="003950D2">
              <w:t>Minor changes to Assessment Conditions.</w:t>
            </w:r>
          </w:p>
        </w:tc>
      </w:tr>
      <w:tr w:rsidTr="003950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0D2" w:rsidP="003950D2">
            <w:pPr>
              <w:pStyle w:val="BodyText"/>
            </w:pPr>
            <w:r w:rsidRPr="003950D2">
              <w:rPr>
                <w:rStyle w:val="SpecialBold"/>
              </w:rPr>
              <w:t>Release 1.</w:t>
            </w:r>
            <w:r w:rsidRPr="003950D2">
              <w:t xml:space="preserve"> This is the first release of this unit of competency in the TLI Transport and Logistics Training Package.</w:t>
            </w:r>
          </w:p>
        </w:tc>
      </w:tr>
    </w:tbl>
    <w:p w:rsidR="00341034" w:rsidP="003950D2">
      <w:pPr>
        <w:pStyle w:val="NoPaddingFontSize1"/>
      </w:pPr>
    </w:p>
    <w:p w:rsidR="00341034" w:rsidP="003950D2">
      <w:pPr>
        <w:pStyle w:val="NoPaddingFontSize1"/>
      </w:pPr>
    </w:p>
    <w:p w:rsidR="00000000" w:rsidRPr="003950D2" w:rsidP="003950D2">
      <w:pPr>
        <w:pStyle w:val="Heading1"/>
      </w:pPr>
      <w:bookmarkStart w:id="2" w:name="O_1196125"/>
      <w:bookmarkEnd w:id="2"/>
      <w:r w:rsidRPr="003950D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0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0D2">
            <w:pPr>
              <w:pStyle w:val="BodyText"/>
              <w:rPr>
                <w:lang w:val="en-NZ"/>
              </w:rPr>
            </w:pPr>
            <w:r w:rsidRPr="003950D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950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0D2" w:rsidP="003950D2">
            <w:pPr>
              <w:pStyle w:val="ListBullet"/>
            </w:pPr>
            <w:r w:rsidRPr="003950D2">
              <w:t xml:space="preserve">adapting to changes in rosters and standard operating procedures </w:t>
            </w:r>
            <w:r w:rsidRPr="003950D2">
              <w:t>(SOPs) as they relate to fatigue management</w:t>
            </w:r>
          </w:p>
          <w:p w:rsidR="00000000" w:rsidRPr="003950D2" w:rsidP="003950D2">
            <w:pPr>
              <w:pStyle w:val="ListBullet"/>
            </w:pPr>
            <w:r w:rsidRPr="003950D2">
              <w:t>adjusting lifestyle patterns to ensure effective fatigue management during work activities</w:t>
            </w:r>
          </w:p>
          <w:p w:rsidR="00000000" w:rsidRPr="003950D2" w:rsidP="003950D2">
            <w:pPr>
              <w:pStyle w:val="ListBullet"/>
            </w:pPr>
            <w:r w:rsidRPr="003950D2">
              <w:t>applying precautions and required actions to minimise and control the effects of fatigue when carrying out own work funct</w:t>
            </w:r>
            <w:r w:rsidRPr="003950D2">
              <w:t>ions</w:t>
            </w:r>
          </w:p>
          <w:p w:rsidR="00000000" w:rsidRPr="003950D2" w:rsidP="003950D2">
            <w:pPr>
              <w:pStyle w:val="ListBullet"/>
            </w:pPr>
            <w:r w:rsidRPr="003950D2">
              <w:t>applying relevant legislation and workplace procedures</w:t>
            </w:r>
          </w:p>
          <w:p w:rsidR="00000000" w:rsidRPr="003950D2" w:rsidP="003950D2">
            <w:pPr>
              <w:pStyle w:val="ListBullet"/>
            </w:pPr>
            <w:r w:rsidRPr="003950D2">
              <w:t>communicating effectively with others when applying fatigue management strategies</w:t>
            </w:r>
          </w:p>
          <w:p w:rsidR="00000000" w:rsidRPr="003950D2" w:rsidP="003950D2">
            <w:pPr>
              <w:pStyle w:val="ListBullet"/>
            </w:pPr>
            <w:r w:rsidRPr="003950D2">
              <w:t>identifying and meeting own learning needs about fatigue management related matters</w:t>
            </w:r>
          </w:p>
          <w:p w:rsidR="00000000" w:rsidRPr="003950D2" w:rsidP="003950D2">
            <w:pPr>
              <w:pStyle w:val="ListBullet"/>
            </w:pPr>
            <w:r w:rsidRPr="003950D2">
              <w:t>modifying activities and takin</w:t>
            </w:r>
            <w:r w:rsidRPr="003950D2">
              <w:t>g appropriate initiatives to manage fatigue in the workplace depending on work contexts, risk situations and environments</w:t>
            </w:r>
          </w:p>
          <w:p w:rsidR="00000000" w:rsidRPr="003950D2" w:rsidP="003950D2">
            <w:pPr>
              <w:pStyle w:val="ListBullet"/>
            </w:pPr>
            <w:r w:rsidRPr="003950D2">
              <w:t>reading and interpreting instructions, procedures, regulations and signs related to fatigue management and applying them to work activ</w:t>
            </w:r>
            <w:r w:rsidRPr="003950D2">
              <w:t>ities</w:t>
            </w:r>
          </w:p>
          <w:p w:rsidR="00000000" w:rsidRPr="003950D2" w:rsidP="003950D2">
            <w:pPr>
              <w:pStyle w:val="ListBullet"/>
            </w:pPr>
            <w:r w:rsidRPr="003950D2">
              <w:t>recognising symptoms of fatigue and taking appropriate actions in accordance with fatigue management regulations and workplace procedures</w:t>
            </w:r>
          </w:p>
          <w:p w:rsidR="00000000" w:rsidRPr="003950D2" w:rsidP="003950D2">
            <w:pPr>
              <w:pStyle w:val="ListBullet"/>
            </w:pPr>
            <w:r w:rsidRPr="003950D2">
              <w:t>working collaboratively with others to manage and minimise the effects of fatigue during work activities.</w:t>
            </w:r>
          </w:p>
        </w:tc>
      </w:tr>
    </w:tbl>
    <w:p w:rsidR="00000000" w:rsidRPr="003950D2" w:rsidP="003950D2">
      <w:pPr>
        <w:pStyle w:val="NoPaddingFontSize1"/>
      </w:pPr>
    </w:p>
    <w:p w:rsidR="00000000" w:rsidRPr="003950D2" w:rsidP="003950D2">
      <w:pPr>
        <w:pStyle w:val="AllowPageBreak"/>
      </w:pPr>
    </w:p>
    <w:p w:rsidR="00000000" w:rsidRPr="003950D2" w:rsidP="003950D2">
      <w:pPr>
        <w:pStyle w:val="Heading1"/>
      </w:pPr>
      <w:bookmarkStart w:id="3" w:name="O_1196124"/>
      <w:bookmarkEnd w:id="3"/>
      <w:r w:rsidRPr="003950D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0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0D2">
            <w:pPr>
              <w:pStyle w:val="BodyText"/>
              <w:rPr>
                <w:lang w:val="en-NZ"/>
              </w:rPr>
            </w:pPr>
            <w:r w:rsidRPr="003950D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950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0D2" w:rsidP="003950D2">
            <w:pPr>
              <w:pStyle w:val="ListBullet"/>
            </w:pPr>
            <w:r w:rsidRPr="003950D2">
              <w:t>causes and effects of fatigue on workers</w:t>
            </w:r>
          </w:p>
          <w:p w:rsidR="00000000" w:rsidRPr="003950D2" w:rsidP="003950D2">
            <w:pPr>
              <w:pStyle w:val="ListBullet"/>
            </w:pPr>
            <w:r w:rsidRPr="003950D2">
              <w:t>factors that increase fatigue-related accidents</w:t>
            </w:r>
          </w:p>
          <w:p w:rsidR="00000000" w:rsidRPr="003950D2" w:rsidP="003950D2">
            <w:pPr>
              <w:pStyle w:val="ListBullet"/>
            </w:pPr>
            <w:r w:rsidRPr="003950D2">
              <w:t>how fatigue affects workplace performance</w:t>
            </w:r>
          </w:p>
          <w:p w:rsidR="00000000" w:rsidRPr="003950D2" w:rsidP="003950D2">
            <w:pPr>
              <w:pStyle w:val="ListBullet"/>
            </w:pPr>
            <w:r w:rsidRPr="003950D2">
              <w:t>how fatigue contributes to workplace accidents</w:t>
            </w:r>
          </w:p>
          <w:p w:rsidR="00000000" w:rsidRPr="003950D2" w:rsidP="003950D2">
            <w:pPr>
              <w:pStyle w:val="ListBullet"/>
            </w:pPr>
            <w:r w:rsidRPr="003950D2">
              <w:t xml:space="preserve">lifestyles that promote effective long-term fatigue management </w:t>
            </w:r>
          </w:p>
          <w:p w:rsidR="00000000" w:rsidRPr="003950D2" w:rsidP="003950D2">
            <w:pPr>
              <w:pStyle w:val="ListBullet"/>
            </w:pPr>
            <w:r w:rsidRPr="003950D2">
              <w:t>relevant fatigue management codes, regulations, permit</w:t>
            </w:r>
            <w:r w:rsidRPr="003950D2">
              <w:t xml:space="preserve"> and licence requirements</w:t>
            </w:r>
          </w:p>
          <w:p w:rsidR="00000000" w:rsidRPr="003950D2" w:rsidP="003950D2">
            <w:pPr>
              <w:pStyle w:val="ListBullet"/>
            </w:pPr>
            <w:r w:rsidRPr="003950D2">
              <w:t>relevant work health and safety (WHS)/occupational health and safety (OHS) regulations as they relate to fatigue</w:t>
            </w:r>
          </w:p>
          <w:p w:rsidR="00000000" w:rsidRPr="003950D2" w:rsidP="003950D2">
            <w:pPr>
              <w:pStyle w:val="ListBullet"/>
            </w:pPr>
            <w:r w:rsidRPr="003950D2">
              <w:t xml:space="preserve">risks and hazards created by workplace fatigue </w:t>
            </w:r>
          </w:p>
          <w:p w:rsidR="00000000" w:rsidRPr="003950D2" w:rsidP="003950D2">
            <w:pPr>
              <w:pStyle w:val="ListBullet"/>
            </w:pPr>
            <w:r w:rsidRPr="003950D2">
              <w:t>sources of information on fatigue</w:t>
            </w:r>
          </w:p>
          <w:p w:rsidR="00000000" w:rsidRPr="003950D2" w:rsidP="003950D2">
            <w:pPr>
              <w:pStyle w:val="ListBullet"/>
            </w:pPr>
            <w:r w:rsidRPr="003950D2">
              <w:t>strategies and ways of managing fatigue</w:t>
            </w:r>
          </w:p>
          <w:p w:rsidR="00000000" w:rsidRPr="003950D2" w:rsidP="003950D2">
            <w:pPr>
              <w:pStyle w:val="ListBullet"/>
            </w:pPr>
            <w:r w:rsidRPr="003950D2">
              <w:t>ways of recognising fatigue</w:t>
            </w:r>
          </w:p>
          <w:p w:rsidR="00000000" w:rsidRPr="003950D2" w:rsidP="003950D2">
            <w:pPr>
              <w:pStyle w:val="ListBullet"/>
            </w:pPr>
            <w:r w:rsidRPr="003950D2">
              <w:t>workplace policies and procedures related to fatigue management and the control of factors that can contribute to fatigue and fatigue-related accidents.</w:t>
            </w:r>
          </w:p>
        </w:tc>
      </w:tr>
    </w:tbl>
    <w:p w:rsidR="00000000" w:rsidRPr="003950D2" w:rsidP="003950D2">
      <w:pPr>
        <w:pStyle w:val="NoPaddingFontSize1"/>
      </w:pPr>
    </w:p>
    <w:p w:rsidR="00000000" w:rsidRPr="003950D2" w:rsidP="003950D2">
      <w:pPr>
        <w:pStyle w:val="AllowPageBreak"/>
      </w:pPr>
    </w:p>
    <w:p w:rsidR="00000000" w:rsidRPr="003950D2" w:rsidP="003950D2">
      <w:pPr>
        <w:pStyle w:val="Heading1"/>
      </w:pPr>
      <w:bookmarkStart w:id="4" w:name="O_1196123"/>
      <w:bookmarkEnd w:id="4"/>
      <w:r w:rsidRPr="003950D2">
        <w:t>Assessment Con</w:t>
      </w:r>
      <w:r w:rsidRPr="003950D2">
        <w:t>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50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0D2" w:rsidP="003950D2">
            <w:pPr>
              <w:pStyle w:val="BodyText"/>
            </w:pPr>
            <w:r w:rsidRPr="003950D2">
              <w:t xml:space="preserve">Assessors must hold credentials specified within the Standards for Registered Training Organisations current at the time of assessment. </w:t>
            </w:r>
          </w:p>
          <w:p w:rsidR="00000000" w:rsidRPr="003950D2" w:rsidP="003950D2">
            <w:pPr>
              <w:pStyle w:val="BodyText"/>
            </w:pPr>
            <w:r w:rsidRPr="003950D2">
              <w:t>Assessment must satisfy the Principles of Assessment and Rules of Evidence and all regulatory requirements incl</w:t>
            </w:r>
            <w:r w:rsidRPr="003950D2">
              <w:t>uded within the Standards for Registered Training Organisations current at the time of assessment.</w:t>
            </w:r>
          </w:p>
          <w:p w:rsidR="00000000" w:rsidRPr="003950D2" w:rsidP="003950D2">
            <w:pPr>
              <w:pStyle w:val="BodyText"/>
            </w:pPr>
            <w:r w:rsidRPr="003950D2">
              <w:t>Assessment must occur in workplace operational situations where it is appropriate to do so; where this is not appropriate, assessment must occur in simulated</w:t>
            </w:r>
            <w:r w:rsidRPr="003950D2">
              <w:t xml:space="preserve"> workplace operational situations that replicate workplace conditions.</w:t>
            </w:r>
          </w:p>
          <w:p w:rsidR="00000000" w:rsidRPr="003950D2" w:rsidP="003950D2">
            <w:pPr>
              <w:pStyle w:val="BodyText"/>
            </w:pPr>
            <w:r w:rsidRPr="003950D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950D2" w:rsidP="003950D2">
            <w:pPr>
              <w:pStyle w:val="BodyText"/>
            </w:pPr>
            <w:r w:rsidRPr="003950D2">
              <w:t>Resources for ass</w:t>
            </w:r>
            <w:r w:rsidRPr="003950D2">
              <w:t>essment must include access to:</w:t>
            </w:r>
          </w:p>
          <w:p w:rsidR="00000000" w:rsidRPr="003950D2" w:rsidP="003950D2">
            <w:pPr>
              <w:pStyle w:val="ListBullet2"/>
            </w:pPr>
            <w:r w:rsidRPr="003950D2">
              <w:t>a range of relevant exercises, case studies and/or simulations</w:t>
            </w:r>
          </w:p>
          <w:p w:rsidR="00000000" w:rsidRPr="003950D2" w:rsidP="003950D2">
            <w:pPr>
              <w:pStyle w:val="ListBullet2"/>
            </w:pPr>
            <w:r w:rsidRPr="003950D2">
              <w:t xml:space="preserve">relevant and appropriate materials, tools, equipment and personal protective (PPE) equipment currently used in industry </w:t>
            </w:r>
          </w:p>
          <w:p w:rsidR="00000000" w:rsidRPr="003950D2" w:rsidP="003950D2">
            <w:pPr>
              <w:pStyle w:val="ListBullet2"/>
            </w:pPr>
            <w:r w:rsidRPr="003950D2">
              <w:t>applicable documentation, including legislation, regulations, codes of practice, workplace procedures and operation manuals.</w:t>
            </w:r>
          </w:p>
        </w:tc>
      </w:tr>
    </w:tbl>
    <w:p w:rsidR="00000000" w:rsidRPr="003950D2" w:rsidP="003950D2">
      <w:pPr>
        <w:pStyle w:val="NoPaddingFontSize1"/>
      </w:pPr>
    </w:p>
    <w:p w:rsidR="00000000" w:rsidRPr="003950D2" w:rsidP="003950D2">
      <w:pPr>
        <w:pStyle w:val="AllowPageBreak"/>
      </w:pPr>
    </w:p>
    <w:p w:rsidR="00000000" w:rsidRPr="003950D2" w:rsidP="003950D2">
      <w:pPr>
        <w:pStyle w:val="Heading1"/>
      </w:pPr>
      <w:bookmarkStart w:id="5" w:name="O_1196138"/>
      <w:bookmarkEnd w:id="5"/>
      <w:r w:rsidRPr="003950D2">
        <w:t>Links</w:t>
      </w:r>
    </w:p>
    <w:p w:rsidR="00000000" w:rsidRPr="003950D2" w:rsidP="00341034">
      <w:pPr>
        <w:pStyle w:val="BodyText"/>
      </w:pPr>
      <w:r w:rsidRPr="003950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402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50D2" w:rsidP="003950D2"/>
    <w:sectPr w:rsidSect="003950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D2" w:rsidRPr="00341034" w:rsidP="00341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34" w:rsidP="003950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034" w:rsidP="003950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41034" w:rsidP="003950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0D2" w:rsidRPr="00341034" w:rsidP="00341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34" w:rsidRPr="002D2AF8" w:rsidP="003950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TLIF2010 Apply fatigue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41034" w:rsidP="003950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384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8A2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A0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0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0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0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0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0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0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0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0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0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0D2"/>
  </w:style>
  <w:style w:type="character" w:customStyle="1" w:styleId="Heading1Char">
    <w:name w:val="Heading 1 Char"/>
    <w:basedOn w:val="DefaultParagraphFont"/>
    <w:link w:val="Heading1"/>
    <w:rsid w:val="003950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0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0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0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0D2"/>
    <w:rPr>
      <w:b/>
      <w:spacing w:val="0"/>
    </w:rPr>
  </w:style>
  <w:style w:type="paragraph" w:styleId="ListBullet2">
    <w:name w:val="List Bullet 2"/>
    <w:basedOn w:val="List2"/>
    <w:rsid w:val="003950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50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0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50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0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0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0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0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0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0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0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0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0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0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0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0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0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0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0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0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0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0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0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0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0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0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0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0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0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0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0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0D2"/>
    <w:rPr>
      <w:i/>
    </w:rPr>
  </w:style>
  <w:style w:type="paragraph" w:styleId="Caption">
    <w:name w:val="caption"/>
    <w:basedOn w:val="BodyText"/>
    <w:next w:val="Normal"/>
    <w:qFormat/>
    <w:rsid w:val="003950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0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0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0D2"/>
  </w:style>
  <w:style w:type="paragraph" w:styleId="TableofFigures">
    <w:name w:val="table of figures"/>
    <w:basedOn w:val="Normal"/>
    <w:next w:val="Normal"/>
    <w:semiHidden/>
    <w:rsid w:val="003950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0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50D2"/>
    <w:rPr>
      <w:rFonts w:ascii="Wingdings" w:hAnsi="Wingdings"/>
    </w:rPr>
  </w:style>
  <w:style w:type="paragraph" w:customStyle="1" w:styleId="TableHeading">
    <w:name w:val="Table Heading"/>
    <w:basedOn w:val="HeadingBase"/>
    <w:rsid w:val="003950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0D2"/>
    <w:rPr>
      <w:color w:val="0033CC"/>
      <w:u w:val="none"/>
    </w:rPr>
  </w:style>
  <w:style w:type="paragraph" w:customStyle="1" w:styleId="BodyTextRight">
    <w:name w:val="Body Text Right"/>
    <w:basedOn w:val="BodyText"/>
    <w:rsid w:val="003950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0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0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0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0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0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0D2"/>
    <w:rPr>
      <w:sz w:val="32"/>
    </w:rPr>
  </w:style>
  <w:style w:type="paragraph" w:customStyle="1" w:styleId="HeadingProcedure">
    <w:name w:val="Heading Procedure"/>
    <w:basedOn w:val="HeadingBase"/>
    <w:next w:val="Normal"/>
    <w:rsid w:val="003950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0D2"/>
    <w:pPr>
      <w:spacing w:before="60" w:after="60"/>
    </w:pPr>
  </w:style>
  <w:style w:type="paragraph" w:styleId="ListContinue">
    <w:name w:val="List Continue"/>
    <w:basedOn w:val="List"/>
    <w:rsid w:val="003950D2"/>
    <w:pPr>
      <w:ind w:firstLine="0"/>
    </w:pPr>
  </w:style>
  <w:style w:type="paragraph" w:customStyle="1" w:styleId="ListNote">
    <w:name w:val="List Note"/>
    <w:basedOn w:val="List"/>
    <w:rsid w:val="003950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0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0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0D2"/>
    <w:rPr>
      <w:rFonts w:ascii="Courier New" w:hAnsi="Courier New"/>
    </w:rPr>
  </w:style>
  <w:style w:type="paragraph" w:customStyle="1" w:styleId="NoteBullet">
    <w:name w:val="Note Bullet"/>
    <w:basedOn w:val="Note"/>
    <w:rsid w:val="003950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0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0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0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0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50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0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0D2"/>
    <w:rPr>
      <w:b/>
      <w:smallCaps/>
    </w:rPr>
  </w:style>
  <w:style w:type="paragraph" w:customStyle="1" w:styleId="TableListNumber">
    <w:name w:val="Table List Number"/>
    <w:basedOn w:val="ListNumber"/>
    <w:rsid w:val="003950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0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0D2"/>
    <w:pPr>
      <w:numPr>
        <w:numId w:val="9"/>
      </w:numPr>
    </w:pPr>
  </w:style>
  <w:style w:type="paragraph" w:customStyle="1" w:styleId="ListAlpha2">
    <w:name w:val="List Alpha 2"/>
    <w:basedOn w:val="List2"/>
    <w:rsid w:val="003950D2"/>
    <w:pPr>
      <w:numPr>
        <w:numId w:val="8"/>
      </w:numPr>
    </w:pPr>
  </w:style>
  <w:style w:type="paragraph" w:styleId="List2">
    <w:name w:val="List 2"/>
    <w:basedOn w:val="BodyText"/>
    <w:rsid w:val="003950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0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0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0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0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0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50D2"/>
    <w:pPr>
      <w:numPr>
        <w:numId w:val="4"/>
      </w:numPr>
    </w:pPr>
  </w:style>
  <w:style w:type="paragraph" w:styleId="ListContinue2">
    <w:name w:val="List Continue 2"/>
    <w:basedOn w:val="List2"/>
    <w:rsid w:val="003950D2"/>
    <w:pPr>
      <w:ind w:firstLine="0"/>
    </w:pPr>
  </w:style>
  <w:style w:type="paragraph" w:styleId="ListContinue3">
    <w:name w:val="List Continue 3"/>
    <w:basedOn w:val="List3"/>
    <w:rsid w:val="003950D2"/>
    <w:pPr>
      <w:ind w:left="1021" w:firstLine="0"/>
    </w:pPr>
  </w:style>
  <w:style w:type="paragraph" w:styleId="ListContinue4">
    <w:name w:val="List Continue 4"/>
    <w:basedOn w:val="List4"/>
    <w:rsid w:val="003950D2"/>
    <w:pPr>
      <w:ind w:firstLine="0"/>
    </w:pPr>
  </w:style>
  <w:style w:type="paragraph" w:styleId="ListContinue5">
    <w:name w:val="List Continue 5"/>
    <w:basedOn w:val="List5"/>
    <w:rsid w:val="003950D2"/>
    <w:pPr>
      <w:ind w:firstLine="0"/>
    </w:pPr>
  </w:style>
  <w:style w:type="paragraph" w:styleId="ListNumber3">
    <w:name w:val="List Number 3"/>
    <w:basedOn w:val="List3"/>
    <w:rsid w:val="003950D2"/>
    <w:pPr>
      <w:numPr>
        <w:numId w:val="5"/>
      </w:numPr>
    </w:pPr>
  </w:style>
  <w:style w:type="paragraph" w:styleId="ListNumber4">
    <w:name w:val="List Number 4"/>
    <w:basedOn w:val="List4"/>
    <w:rsid w:val="003950D2"/>
    <w:pPr>
      <w:numPr>
        <w:numId w:val="6"/>
      </w:numPr>
    </w:pPr>
  </w:style>
  <w:style w:type="paragraph" w:styleId="ListNumber5">
    <w:name w:val="List Number 5"/>
    <w:basedOn w:val="List5"/>
    <w:rsid w:val="003950D2"/>
    <w:pPr>
      <w:numPr>
        <w:numId w:val="7"/>
      </w:numPr>
    </w:pPr>
  </w:style>
  <w:style w:type="paragraph" w:styleId="BlockText">
    <w:name w:val="Block Text"/>
    <w:basedOn w:val="Normal"/>
    <w:rsid w:val="003950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0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0D2"/>
    <w:rPr>
      <w:sz w:val="16"/>
      <w:vertAlign w:val="superscript"/>
    </w:rPr>
  </w:style>
  <w:style w:type="character" w:customStyle="1" w:styleId="Symbols">
    <w:name w:val="Symbols"/>
    <w:basedOn w:val="DefaultParagraphFont"/>
    <w:rsid w:val="003950D2"/>
    <w:rPr>
      <w:rFonts w:ascii="Symbol" w:hAnsi="Symbol"/>
    </w:rPr>
  </w:style>
  <w:style w:type="character" w:customStyle="1" w:styleId="MenuOptions">
    <w:name w:val="Menu Options"/>
    <w:basedOn w:val="DefaultParagraphFont"/>
    <w:rsid w:val="003950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0D2"/>
    <w:rPr>
      <w:b/>
    </w:rPr>
  </w:style>
  <w:style w:type="character" w:customStyle="1" w:styleId="Underlined">
    <w:name w:val="Underlined"/>
    <w:basedOn w:val="DefaultParagraphFont"/>
    <w:rsid w:val="003950D2"/>
    <w:rPr>
      <w:u w:val="single"/>
    </w:rPr>
  </w:style>
  <w:style w:type="paragraph" w:customStyle="1" w:styleId="TableBodyTextRight">
    <w:name w:val="Table Body Text Right"/>
    <w:basedOn w:val="TableBodyText"/>
    <w:rsid w:val="003950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0D2"/>
    <w:rPr>
      <w:sz w:val="18"/>
    </w:rPr>
  </w:style>
  <w:style w:type="paragraph" w:customStyle="1" w:styleId="BodySmallRight">
    <w:name w:val="Body Small Right"/>
    <w:basedOn w:val="BodyTextRight"/>
    <w:rsid w:val="003950D2"/>
    <w:rPr>
      <w:sz w:val="18"/>
      <w:szCs w:val="18"/>
    </w:rPr>
  </w:style>
  <w:style w:type="paragraph" w:customStyle="1" w:styleId="MarginEdition">
    <w:name w:val="Margin Edition"/>
    <w:basedOn w:val="MarginNote"/>
    <w:rsid w:val="003950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0D2"/>
    <w:rPr>
      <w:sz w:val="2"/>
      <w:szCs w:val="2"/>
    </w:rPr>
  </w:style>
  <w:style w:type="character" w:customStyle="1" w:styleId="Small">
    <w:name w:val="Small"/>
    <w:basedOn w:val="DefaultParagraphFont"/>
    <w:rsid w:val="003950D2"/>
    <w:rPr>
      <w:sz w:val="16"/>
    </w:rPr>
  </w:style>
  <w:style w:type="paragraph" w:customStyle="1" w:styleId="WideTable">
    <w:name w:val="Wide Table"/>
    <w:basedOn w:val="Normal"/>
    <w:rsid w:val="003950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0D2"/>
  </w:style>
  <w:style w:type="paragraph" w:styleId="Quote">
    <w:name w:val="Quote"/>
    <w:basedOn w:val="Heading1"/>
    <w:link w:val="QuoteChar"/>
    <w:qFormat/>
    <w:rsid w:val="003950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0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0D2"/>
    <w:pPr>
      <w:pageBreakBefore/>
    </w:pPr>
  </w:style>
  <w:style w:type="paragraph" w:customStyle="1" w:styleId="Border">
    <w:name w:val="Border"/>
    <w:basedOn w:val="Normal"/>
    <w:qFormat/>
    <w:rsid w:val="003950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0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0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0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0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0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0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0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0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0D2"/>
    <w:rPr>
      <w:u w:val="single"/>
    </w:rPr>
  </w:style>
  <w:style w:type="character" w:customStyle="1" w:styleId="BoldandItalics">
    <w:name w:val="Bold and Italics"/>
    <w:qFormat/>
    <w:rsid w:val="003950D2"/>
    <w:rPr>
      <w:b/>
      <w:i/>
      <w:u w:val="none"/>
    </w:rPr>
  </w:style>
  <w:style w:type="paragraph" w:styleId="BalloonText">
    <w:name w:val="Balloon Text"/>
    <w:basedOn w:val="Normal"/>
    <w:link w:val="BalloonTextChar"/>
    <w:rsid w:val="003950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0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0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0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0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0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0D2"/>
    <w:pPr>
      <w:spacing w:before="0" w:after="0"/>
    </w:pPr>
  </w:style>
  <w:style w:type="paragraph" w:customStyle="1" w:styleId="BodyTextBold">
    <w:name w:val="Body Text Bold"/>
    <w:basedOn w:val="BodyText"/>
    <w:qFormat/>
    <w:rsid w:val="003950D2"/>
    <w:rPr>
      <w:b/>
    </w:rPr>
  </w:style>
  <w:style w:type="character" w:styleId="Hyperlink">
    <w:name w:val="Hyperlink"/>
    <w:basedOn w:val="DefaultParagraphFont"/>
    <w:uiPriority w:val="99"/>
    <w:unhideWhenUsed/>
    <w:rsid w:val="00341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3624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TLIF2010 Apply fatigue management strategies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