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EE6" w:rsidP="00623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TLIF0098 Apply personal and equipment lockouts for rolling stock</w:t>
      </w:r>
      <w:r>
        <w:fldChar w:fldCharType="end"/>
      </w:r>
    </w:p>
    <w:p w:rsidR="00623EE6" w:rsidP="00623EE6">
      <w:pPr>
        <w:pStyle w:val="Version"/>
        <w:sectPr w:rsidSect="00700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28B" w:rsidP="0070028B">
      <w:pPr>
        <w:pStyle w:val="SuperHeading"/>
      </w:pPr>
      <w:r w:rsidRPr="0070028B">
        <w:t>TLIF0098 Apply personal and equipment lockouts for rolling stock</w:t>
      </w:r>
    </w:p>
    <w:p w:rsidR="00000000" w:rsidRPr="0070028B" w:rsidP="0070028B">
      <w:pPr>
        <w:pStyle w:val="Heading1"/>
      </w:pPr>
      <w:bookmarkStart w:id="1" w:name="O_755609"/>
      <w:bookmarkEnd w:id="1"/>
      <w:r w:rsidRPr="0070028B">
        <w:t>Modification History</w:t>
      </w:r>
    </w:p>
    <w:p w:rsidR="00623EE6" w:rsidP="00623EE6">
      <w:pPr>
        <w:pStyle w:val="BodyText"/>
      </w:pPr>
      <w:r w:rsidRPr="0070028B">
        <w:t>Release 1. This is the first release of this unit of competency in the TLI Transport and Logistics Training Package.</w:t>
      </w:r>
    </w:p>
    <w:p w:rsidR="00000000" w:rsidRPr="0070028B" w:rsidP="0070028B">
      <w:pPr>
        <w:pStyle w:val="Heading1"/>
      </w:pPr>
      <w:bookmarkStart w:id="2" w:name="O_755610"/>
      <w:bookmarkEnd w:id="2"/>
      <w:r w:rsidRPr="0070028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t>This unit involves the skills and knowledge required to apply personal and equipment lockouts to rolling stock in accordance with legislated rail safety requirements.</w:t>
            </w:r>
          </w:p>
          <w:p w:rsidR="00000000" w:rsidRPr="0070028B" w:rsidP="0070028B">
            <w:pPr>
              <w:pStyle w:val="BodyText"/>
            </w:pPr>
            <w:r w:rsidRPr="0070028B">
              <w:t xml:space="preserve">It includes following Rail Infrastructure Manager policies, procedures and protocols. </w:t>
            </w:r>
          </w:p>
          <w:p w:rsidR="00000000" w:rsidRPr="0070028B" w:rsidP="0070028B">
            <w:pPr>
              <w:pStyle w:val="BodyText"/>
            </w:pPr>
            <w:r w:rsidRPr="0070028B">
              <w:t>Th</w:t>
            </w:r>
            <w:r w:rsidRPr="0070028B">
              <w:t>is unit is for rail safety workers required to apply lockouts to defined areas, rolling stock and specific equipment in order to carry out maintenance activities.</w:t>
            </w:r>
          </w:p>
          <w:p w:rsidR="00000000" w:rsidRPr="0070028B" w:rsidP="0070028B">
            <w:pPr>
              <w:pStyle w:val="BodyText"/>
            </w:pPr>
            <w:r w:rsidRPr="0070028B">
              <w:t>No licensing, legislative or certification requirements apply to this unit at the time of pub</w:t>
            </w:r>
            <w:r w:rsidRPr="0070028B">
              <w:t>lication.</w:t>
            </w:r>
          </w:p>
        </w:tc>
      </w:tr>
    </w:tbl>
    <w:p w:rsidR="00623EE6" w:rsidP="0070028B">
      <w:pPr>
        <w:pStyle w:val="BodyText"/>
      </w:pPr>
    </w:p>
    <w:p w:rsidR="00623EE6" w:rsidP="0070028B">
      <w:pPr>
        <w:pStyle w:val="BodyText"/>
      </w:pPr>
    </w:p>
    <w:p w:rsidR="00000000" w:rsidRPr="0070028B" w:rsidP="0070028B">
      <w:pPr>
        <w:pStyle w:val="Heading1"/>
      </w:pPr>
      <w:bookmarkStart w:id="3" w:name="O_755611"/>
      <w:bookmarkEnd w:id="3"/>
      <w:r w:rsidRPr="0070028B">
        <w:t>Pre-requisite Unit</w:t>
      </w:r>
    </w:p>
    <w:p w:rsidR="00623EE6" w:rsidP="00623EE6">
      <w:pPr>
        <w:pStyle w:val="BodyText"/>
      </w:pPr>
      <w:r w:rsidRPr="0070028B">
        <w:t>Not applicable.</w:t>
      </w:r>
    </w:p>
    <w:p w:rsidR="00000000" w:rsidRPr="0070028B" w:rsidP="0070028B">
      <w:pPr>
        <w:pStyle w:val="Heading1"/>
      </w:pPr>
      <w:bookmarkStart w:id="4" w:name="O_755612"/>
      <w:bookmarkEnd w:id="4"/>
      <w:r w:rsidRPr="0070028B">
        <w:t>Competency Field</w:t>
      </w:r>
    </w:p>
    <w:p w:rsidR="00623EE6" w:rsidP="00623EE6">
      <w:pPr>
        <w:pStyle w:val="BodyText"/>
      </w:pPr>
      <w:r w:rsidRPr="0070028B">
        <w:t>F – Safety Management</w:t>
      </w:r>
    </w:p>
    <w:p w:rsidR="00000000" w:rsidRPr="0070028B" w:rsidP="0070028B">
      <w:pPr>
        <w:pStyle w:val="Heading1"/>
      </w:pPr>
      <w:bookmarkStart w:id="5" w:name="O_755613"/>
      <w:bookmarkEnd w:id="5"/>
      <w:r w:rsidRPr="0070028B">
        <w:t>Unit Sector</w:t>
      </w:r>
    </w:p>
    <w:p w:rsidR="00623EE6" w:rsidP="00623EE6">
      <w:pPr>
        <w:pStyle w:val="BodyText"/>
      </w:pPr>
      <w:r w:rsidRPr="0070028B">
        <w:t>Not applicable.</w:t>
      </w:r>
    </w:p>
    <w:p w:rsidR="00000000" w:rsidRPr="0070028B" w:rsidP="0070028B">
      <w:pPr>
        <w:pStyle w:val="Heading1"/>
      </w:pPr>
      <w:bookmarkStart w:id="6" w:name="O_755614"/>
      <w:bookmarkEnd w:id="6"/>
      <w:r w:rsidRPr="007002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Performance criteria describe the performance needed to demonstrate achievement of the element.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rPr>
                <w:rStyle w:val="SpecialBold"/>
              </w:rPr>
              <w:t xml:space="preserve">Identify personal </w:t>
            </w:r>
            <w:r w:rsidRPr="0070028B">
              <w:rPr>
                <w:rStyle w:val="SpecialBold"/>
              </w:rPr>
              <w:t>and equipment lockout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Area and rolling stock to be locked out is identified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Appropriate lockouts are determined in accordance with activities to be undertaken and organisational policies and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Hazards are identified, risks are assessed and control measures are implemented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Appropriate documentation is co</w:t>
            </w:r>
            <w:r w:rsidRPr="0070028B">
              <w:t>mpleted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Appropriate personnel are informed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rPr>
                <w:rStyle w:val="SpecialBold"/>
              </w:rPr>
              <w:t>Apply and remove area lockout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Danger zone is safely accessed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Where existing lockouts are identified, appropriate personnel are contacted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Area lockouts are applied as required in accordance with organisational policies and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After al</w:t>
            </w:r>
            <w:r w:rsidRPr="0070028B">
              <w:t>l work has been completed and all sub lockouts have been removed, area lockout is removed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rPr>
                <w:rStyle w:val="SpecialBold"/>
              </w:rPr>
              <w:t>Apply and remove rolling stock lockout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Confirmation is made that area is locked out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Where existing lockouts are identified, appropriate personnel are contacted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Rolling stock lockouts are applied as required in accordance with organisational policies and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After all work h</w:t>
            </w:r>
            <w:r w:rsidRPr="0070028B">
              <w:t>as been completed and all sub lockouts have been removed, rolling stock lockout is removed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rPr>
                <w:rStyle w:val="SpecialBold"/>
              </w:rPr>
              <w:t>Apply and remove personal lockouts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Confirmation is made that area and rolling stock are locked out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Where existing lockouts are identified, appropriate personnel are contacted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Personal lockouts are applied as required in accordance with tasks to be performed and organisational policies and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After work has been completed all personal lockouts are removed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rPr>
                <w:rStyle w:val="SpecialBold"/>
              </w:rPr>
              <w:t>Maintain lockout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Any damaged or unserviceable equipment is labelled and reported in accordance with organisational procedures</w:t>
            </w:r>
          </w:p>
        </w:tc>
      </w:tr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28B">
            <w:pPr>
              <w:pStyle w:val="BodyText"/>
              <w:rPr>
                <w:lang w:val="en-NZ"/>
              </w:rPr>
            </w:pPr>
            <w:r w:rsidRPr="0070028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t>Missing or damaged equipment is repla</w:t>
            </w:r>
            <w:r w:rsidRPr="0070028B">
              <w:t>ced in accordance with organisational procedures</w:t>
            </w:r>
          </w:p>
        </w:tc>
      </w:tr>
    </w:tbl>
    <w:p w:rsidR="00623EE6" w:rsidP="0070028B">
      <w:pPr>
        <w:pStyle w:val="BodyText"/>
      </w:pPr>
    </w:p>
    <w:p w:rsidR="00623EE6" w:rsidP="0070028B">
      <w:pPr>
        <w:pStyle w:val="BodyText"/>
      </w:pPr>
    </w:p>
    <w:p w:rsidR="00000000" w:rsidRPr="0070028B" w:rsidP="0070028B">
      <w:pPr>
        <w:pStyle w:val="Heading1"/>
      </w:pPr>
      <w:bookmarkStart w:id="7" w:name="O_755615"/>
      <w:bookmarkEnd w:id="7"/>
      <w:r w:rsidRPr="0070028B">
        <w:t>Foundation Skills</w:t>
      </w:r>
    </w:p>
    <w:p w:rsidR="00623EE6" w:rsidP="00623EE6">
      <w:pPr>
        <w:pStyle w:val="BodyText"/>
      </w:pPr>
      <w:r w:rsidRPr="0070028B">
        <w:t>Foundation skills essential to performance are explicit in the performance criteria of this unit of competency.</w:t>
      </w:r>
    </w:p>
    <w:p w:rsidR="00000000" w:rsidRPr="0070028B" w:rsidP="0070028B">
      <w:pPr>
        <w:pStyle w:val="Heading1"/>
      </w:pPr>
      <w:bookmarkStart w:id="8" w:name="O_755616"/>
      <w:bookmarkEnd w:id="8"/>
      <w:r w:rsidRPr="0070028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23E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28B" w:rsidP="0070028B">
            <w:pPr>
              <w:pStyle w:val="BodyText"/>
            </w:pPr>
            <w:r w:rsidRPr="0070028B">
              <w:t>Range is restricted to essential operating conditions and any other variables essential to the work environment.</w:t>
            </w:r>
          </w:p>
          <w:p w:rsidR="00000000" w:rsidRPr="0070028B" w:rsidP="0070028B">
            <w:pPr>
              <w:pStyle w:val="BodyText"/>
            </w:pPr>
            <w:r w:rsidRPr="0070028B">
              <w:t>Non-essential conditions can be found in the Companion Volume Implementation Guide.</w:t>
            </w:r>
          </w:p>
        </w:tc>
      </w:tr>
    </w:tbl>
    <w:p w:rsidR="00623EE6" w:rsidP="0070028B">
      <w:pPr>
        <w:pStyle w:val="BodyText"/>
      </w:pPr>
    </w:p>
    <w:p w:rsidR="00623EE6" w:rsidP="0070028B">
      <w:pPr>
        <w:pStyle w:val="BodyText"/>
      </w:pPr>
    </w:p>
    <w:p w:rsidR="00000000" w:rsidRPr="0070028B" w:rsidP="0070028B">
      <w:pPr>
        <w:pStyle w:val="Heading1"/>
      </w:pPr>
      <w:bookmarkStart w:id="9" w:name="O_755617"/>
      <w:bookmarkEnd w:id="9"/>
      <w:r w:rsidRPr="0070028B">
        <w:t>Unit Mapping Information</w:t>
      </w:r>
    </w:p>
    <w:p w:rsidR="00623EE6" w:rsidP="00623EE6">
      <w:pPr>
        <w:pStyle w:val="BodyText"/>
      </w:pPr>
      <w:r w:rsidRPr="0070028B">
        <w:t>This unit repl</w:t>
      </w:r>
      <w:r w:rsidRPr="0070028B">
        <w:t>aces and is equivalent to TLIF0098A Apply personal and equipment lockouts for rolling stock.</w:t>
      </w:r>
    </w:p>
    <w:p w:rsidR="00000000" w:rsidRPr="0070028B" w:rsidP="0070028B">
      <w:pPr>
        <w:pStyle w:val="Heading1"/>
      </w:pPr>
      <w:bookmarkStart w:id="10" w:name="O_755624"/>
      <w:bookmarkEnd w:id="10"/>
      <w:r w:rsidRPr="0070028B">
        <w:t>Links</w:t>
      </w:r>
    </w:p>
    <w:p w:rsidR="00000000" w:rsidRPr="0070028B" w:rsidP="00623EE6">
      <w:pPr>
        <w:pStyle w:val="BodyText"/>
      </w:pPr>
      <w:r w:rsidRPr="00700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6EA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028B" w:rsidP="0070028B"/>
    <w:sectPr w:rsidSect="00700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8B" w:rsidRPr="00623EE6" w:rsidP="00623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E6" w:rsidP="00700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EE6" w:rsidP="00700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3EE6" w:rsidP="00700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28B" w:rsidRPr="00623EE6" w:rsidP="00623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EE6" w:rsidRPr="002D2AF8" w:rsidP="00700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TLIF0098 Apply personal and equipment lockouts for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23EE6" w:rsidP="00700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28B"/>
  </w:style>
  <w:style w:type="character" w:customStyle="1" w:styleId="Heading1Char">
    <w:name w:val="Heading 1 Char"/>
    <w:basedOn w:val="DefaultParagraphFont"/>
    <w:link w:val="Heading1"/>
    <w:rsid w:val="00700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2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028B"/>
    <w:rPr>
      <w:b/>
      <w:spacing w:val="0"/>
    </w:rPr>
  </w:style>
  <w:style w:type="paragraph" w:customStyle="1" w:styleId="SuperHeading">
    <w:name w:val="SuperHeading"/>
    <w:basedOn w:val="Normal"/>
    <w:rsid w:val="00700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02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0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2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28B"/>
    <w:rPr>
      <w:i/>
    </w:rPr>
  </w:style>
  <w:style w:type="paragraph" w:styleId="Caption">
    <w:name w:val="caption"/>
    <w:basedOn w:val="BodyText"/>
    <w:next w:val="Normal"/>
    <w:qFormat/>
    <w:rsid w:val="00700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28B"/>
  </w:style>
  <w:style w:type="paragraph" w:styleId="TableofFigures">
    <w:name w:val="table of figures"/>
    <w:basedOn w:val="Normal"/>
    <w:next w:val="Normal"/>
    <w:semiHidden/>
    <w:rsid w:val="00700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2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028B"/>
    <w:rPr>
      <w:rFonts w:ascii="Wingdings" w:hAnsi="Wingdings"/>
    </w:rPr>
  </w:style>
  <w:style w:type="paragraph" w:customStyle="1" w:styleId="TableHeading">
    <w:name w:val="Table Heading"/>
    <w:basedOn w:val="HeadingBase"/>
    <w:rsid w:val="00700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28B"/>
    <w:rPr>
      <w:color w:val="0033CC"/>
      <w:u w:val="none"/>
    </w:rPr>
  </w:style>
  <w:style w:type="paragraph" w:customStyle="1" w:styleId="BodyTextRight">
    <w:name w:val="Body Text Right"/>
    <w:basedOn w:val="BodyText"/>
    <w:rsid w:val="00700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2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28B"/>
    <w:rPr>
      <w:sz w:val="32"/>
    </w:rPr>
  </w:style>
  <w:style w:type="paragraph" w:customStyle="1" w:styleId="HeadingProcedure">
    <w:name w:val="Heading Procedure"/>
    <w:basedOn w:val="HeadingBase"/>
    <w:next w:val="Normal"/>
    <w:rsid w:val="00700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28B"/>
    <w:pPr>
      <w:spacing w:before="60" w:after="60"/>
    </w:pPr>
  </w:style>
  <w:style w:type="paragraph" w:styleId="ListContinue">
    <w:name w:val="List Continue"/>
    <w:basedOn w:val="List"/>
    <w:rsid w:val="0070028B"/>
    <w:pPr>
      <w:ind w:firstLine="0"/>
    </w:pPr>
  </w:style>
  <w:style w:type="paragraph" w:customStyle="1" w:styleId="ListNote">
    <w:name w:val="List Note"/>
    <w:basedOn w:val="List"/>
    <w:rsid w:val="00700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28B"/>
    <w:rPr>
      <w:rFonts w:ascii="Courier New" w:hAnsi="Courier New"/>
    </w:rPr>
  </w:style>
  <w:style w:type="paragraph" w:customStyle="1" w:styleId="NoteBullet">
    <w:name w:val="Note Bullet"/>
    <w:basedOn w:val="Note"/>
    <w:rsid w:val="00700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2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0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28B"/>
    <w:rPr>
      <w:b/>
      <w:smallCaps/>
    </w:rPr>
  </w:style>
  <w:style w:type="paragraph" w:customStyle="1" w:styleId="TableListNumber">
    <w:name w:val="Table List Number"/>
    <w:basedOn w:val="ListNumber"/>
    <w:rsid w:val="00700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28B"/>
    <w:pPr>
      <w:numPr>
        <w:numId w:val="7"/>
      </w:numPr>
    </w:pPr>
  </w:style>
  <w:style w:type="paragraph" w:customStyle="1" w:styleId="ListAlpha2">
    <w:name w:val="List Alpha 2"/>
    <w:basedOn w:val="List2"/>
    <w:rsid w:val="0070028B"/>
    <w:pPr>
      <w:numPr>
        <w:numId w:val="6"/>
      </w:numPr>
    </w:pPr>
  </w:style>
  <w:style w:type="paragraph" w:styleId="List2">
    <w:name w:val="List 2"/>
    <w:basedOn w:val="BodyText"/>
    <w:rsid w:val="00700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2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2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028B"/>
    <w:pPr>
      <w:numPr>
        <w:numId w:val="2"/>
      </w:numPr>
    </w:pPr>
  </w:style>
  <w:style w:type="paragraph" w:styleId="ListContinue2">
    <w:name w:val="List Continue 2"/>
    <w:basedOn w:val="List2"/>
    <w:rsid w:val="0070028B"/>
    <w:pPr>
      <w:ind w:firstLine="0"/>
    </w:pPr>
  </w:style>
  <w:style w:type="paragraph" w:styleId="ListContinue3">
    <w:name w:val="List Continue 3"/>
    <w:basedOn w:val="List3"/>
    <w:rsid w:val="0070028B"/>
    <w:pPr>
      <w:ind w:left="1021" w:firstLine="0"/>
    </w:pPr>
  </w:style>
  <w:style w:type="paragraph" w:styleId="ListContinue4">
    <w:name w:val="List Continue 4"/>
    <w:basedOn w:val="List4"/>
    <w:rsid w:val="0070028B"/>
    <w:pPr>
      <w:ind w:firstLine="0"/>
    </w:pPr>
  </w:style>
  <w:style w:type="paragraph" w:styleId="ListContinue5">
    <w:name w:val="List Continue 5"/>
    <w:basedOn w:val="List5"/>
    <w:rsid w:val="0070028B"/>
    <w:pPr>
      <w:ind w:firstLine="0"/>
    </w:pPr>
  </w:style>
  <w:style w:type="paragraph" w:styleId="ListNumber3">
    <w:name w:val="List Number 3"/>
    <w:basedOn w:val="List3"/>
    <w:rsid w:val="0070028B"/>
    <w:pPr>
      <w:numPr>
        <w:numId w:val="3"/>
      </w:numPr>
    </w:pPr>
  </w:style>
  <w:style w:type="paragraph" w:styleId="ListNumber4">
    <w:name w:val="List Number 4"/>
    <w:basedOn w:val="List4"/>
    <w:rsid w:val="0070028B"/>
    <w:pPr>
      <w:numPr>
        <w:numId w:val="4"/>
      </w:numPr>
    </w:pPr>
  </w:style>
  <w:style w:type="paragraph" w:styleId="ListNumber5">
    <w:name w:val="List Number 5"/>
    <w:basedOn w:val="List5"/>
    <w:rsid w:val="0070028B"/>
    <w:pPr>
      <w:numPr>
        <w:numId w:val="5"/>
      </w:numPr>
    </w:pPr>
  </w:style>
  <w:style w:type="paragraph" w:styleId="BlockText">
    <w:name w:val="Block Text"/>
    <w:basedOn w:val="Normal"/>
    <w:rsid w:val="00700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28B"/>
    <w:rPr>
      <w:sz w:val="16"/>
      <w:vertAlign w:val="superscript"/>
    </w:rPr>
  </w:style>
  <w:style w:type="character" w:customStyle="1" w:styleId="Symbols">
    <w:name w:val="Symbols"/>
    <w:basedOn w:val="DefaultParagraphFont"/>
    <w:rsid w:val="0070028B"/>
    <w:rPr>
      <w:rFonts w:ascii="Symbol" w:hAnsi="Symbol"/>
    </w:rPr>
  </w:style>
  <w:style w:type="character" w:customStyle="1" w:styleId="MenuOptions">
    <w:name w:val="Menu Options"/>
    <w:basedOn w:val="DefaultParagraphFont"/>
    <w:rsid w:val="00700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28B"/>
    <w:rPr>
      <w:b/>
    </w:rPr>
  </w:style>
  <w:style w:type="character" w:customStyle="1" w:styleId="Underlined">
    <w:name w:val="Underlined"/>
    <w:basedOn w:val="DefaultParagraphFont"/>
    <w:rsid w:val="0070028B"/>
    <w:rPr>
      <w:u w:val="single"/>
    </w:rPr>
  </w:style>
  <w:style w:type="paragraph" w:customStyle="1" w:styleId="TableBodyTextRight">
    <w:name w:val="Table Body Text Right"/>
    <w:basedOn w:val="TableBodyText"/>
    <w:rsid w:val="00700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28B"/>
    <w:rPr>
      <w:sz w:val="18"/>
    </w:rPr>
  </w:style>
  <w:style w:type="paragraph" w:customStyle="1" w:styleId="BodySmallRight">
    <w:name w:val="Body Small Right"/>
    <w:basedOn w:val="BodyTextRight"/>
    <w:rsid w:val="0070028B"/>
    <w:rPr>
      <w:sz w:val="18"/>
      <w:szCs w:val="18"/>
    </w:rPr>
  </w:style>
  <w:style w:type="paragraph" w:customStyle="1" w:styleId="MarginEdition">
    <w:name w:val="Margin Edition"/>
    <w:basedOn w:val="MarginNote"/>
    <w:rsid w:val="00700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28B"/>
    <w:rPr>
      <w:sz w:val="2"/>
      <w:szCs w:val="2"/>
    </w:rPr>
  </w:style>
  <w:style w:type="character" w:customStyle="1" w:styleId="Small">
    <w:name w:val="Small"/>
    <w:basedOn w:val="DefaultParagraphFont"/>
    <w:rsid w:val="0070028B"/>
    <w:rPr>
      <w:sz w:val="16"/>
    </w:rPr>
  </w:style>
  <w:style w:type="paragraph" w:customStyle="1" w:styleId="WideTable">
    <w:name w:val="Wide Table"/>
    <w:basedOn w:val="Normal"/>
    <w:rsid w:val="00700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28B"/>
  </w:style>
  <w:style w:type="paragraph" w:styleId="Quote">
    <w:name w:val="Quote"/>
    <w:basedOn w:val="Heading1"/>
    <w:link w:val="QuoteChar"/>
    <w:qFormat/>
    <w:rsid w:val="00700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28B"/>
    <w:pPr>
      <w:pageBreakBefore/>
    </w:pPr>
  </w:style>
  <w:style w:type="paragraph" w:customStyle="1" w:styleId="Border">
    <w:name w:val="Border"/>
    <w:basedOn w:val="Normal"/>
    <w:qFormat/>
    <w:rsid w:val="00700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28B"/>
    <w:rPr>
      <w:u w:val="single"/>
    </w:rPr>
  </w:style>
  <w:style w:type="character" w:customStyle="1" w:styleId="BoldandItalics">
    <w:name w:val="Bold and Italics"/>
    <w:qFormat/>
    <w:rsid w:val="0070028B"/>
    <w:rPr>
      <w:b/>
      <w:i/>
      <w:u w:val="none"/>
    </w:rPr>
  </w:style>
  <w:style w:type="paragraph" w:styleId="BalloonText">
    <w:name w:val="Balloon Text"/>
    <w:basedOn w:val="Normal"/>
    <w:link w:val="BalloonTextChar"/>
    <w:rsid w:val="00700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28B"/>
    <w:pPr>
      <w:spacing w:before="0" w:after="0"/>
    </w:pPr>
  </w:style>
  <w:style w:type="paragraph" w:customStyle="1" w:styleId="BodyTextBold">
    <w:name w:val="Body Text Bold"/>
    <w:basedOn w:val="BodyText"/>
    <w:qFormat/>
    <w:rsid w:val="0070028B"/>
    <w:rPr>
      <w:b/>
    </w:rPr>
  </w:style>
  <w:style w:type="character" w:styleId="Hyperlink">
    <w:name w:val="Hyperlink"/>
    <w:basedOn w:val="DefaultParagraphFont"/>
    <w:uiPriority w:val="99"/>
    <w:unhideWhenUsed/>
    <w:rsid w:val="00623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561</Words>
  <Characters>3507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TLIF0098 Apply personal and equipment lockouts for rolling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2024-07-12T07:52:00Z</dcterms:modified>
</cp:coreProperties>
</file>