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745" w:rsidP="00E67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TLIF0098 Apply personal and equipment lockouts for rolling stock</w:t>
      </w:r>
      <w:r>
        <w:fldChar w:fldCharType="end"/>
      </w:r>
    </w:p>
    <w:p w:rsidR="00E67745" w:rsidP="00E67745">
      <w:pPr>
        <w:pStyle w:val="Version"/>
        <w:sectPr w:rsidSect="00996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3FD" w:rsidP="009963FD">
      <w:pPr>
        <w:pStyle w:val="SuperHeading"/>
      </w:pPr>
      <w:r w:rsidRPr="009963FD">
        <w:t>TLIF0098 Apply personal and equipment lockouts for rolling stock</w:t>
      </w:r>
    </w:p>
    <w:p w:rsidR="00000000" w:rsidRPr="009963FD" w:rsidP="009963FD">
      <w:pPr>
        <w:pStyle w:val="Heading1"/>
      </w:pPr>
      <w:bookmarkStart w:id="1" w:name="O_755609"/>
      <w:bookmarkEnd w:id="1"/>
      <w:r w:rsidRPr="009963FD">
        <w:t>Modification History</w:t>
      </w:r>
    </w:p>
    <w:p w:rsidR="00E67745" w:rsidP="00E67745">
      <w:pPr>
        <w:pStyle w:val="BodyText"/>
      </w:pPr>
      <w:r w:rsidRPr="009963FD">
        <w:t>Release 1. This is the first release of this unit of competency in the TLI Transport and Logistics Training Package.</w:t>
      </w:r>
    </w:p>
    <w:p w:rsidR="00000000" w:rsidRPr="009963FD" w:rsidP="009963FD">
      <w:pPr>
        <w:pStyle w:val="Heading1"/>
      </w:pPr>
      <w:bookmarkStart w:id="2" w:name="O_755610"/>
      <w:bookmarkEnd w:id="2"/>
      <w:r w:rsidRPr="009963F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t>This unit involves the skills and knowledge required to apply personal and equipment lockouts to rolling stock in accordance with legislated rail safety requirements.</w:t>
            </w:r>
          </w:p>
          <w:p w:rsidR="00000000" w:rsidRPr="009963FD" w:rsidP="009963FD">
            <w:pPr>
              <w:pStyle w:val="BodyText"/>
            </w:pPr>
            <w:r w:rsidRPr="009963FD">
              <w:t xml:space="preserve">It includes following Rail Infrastructure Manager policies, procedures and protocols. </w:t>
            </w:r>
          </w:p>
          <w:p w:rsidR="00000000" w:rsidRPr="009963FD" w:rsidP="009963FD">
            <w:pPr>
              <w:pStyle w:val="BodyText"/>
            </w:pPr>
            <w:r w:rsidRPr="009963FD">
              <w:t>Th</w:t>
            </w:r>
            <w:r w:rsidRPr="009963FD">
              <w:t>is unit is for rail safety workers required to apply lockouts to defined areas, rolling stock and specific equipment in order to carry out maintenance activities.</w:t>
            </w:r>
          </w:p>
          <w:p w:rsidR="00000000" w:rsidRPr="009963FD" w:rsidP="009963FD">
            <w:pPr>
              <w:pStyle w:val="BodyText"/>
            </w:pPr>
            <w:r w:rsidRPr="009963FD">
              <w:t>No licensing, legislative or certification requirements apply to this unit at the time of pub</w:t>
            </w:r>
            <w:r w:rsidRPr="009963FD">
              <w:t>lication.</w:t>
            </w:r>
          </w:p>
        </w:tc>
      </w:tr>
    </w:tbl>
    <w:p w:rsidR="00E67745" w:rsidP="009963FD">
      <w:pPr>
        <w:pStyle w:val="BodyText"/>
      </w:pPr>
    </w:p>
    <w:p w:rsidR="00E67745" w:rsidP="009963FD">
      <w:pPr>
        <w:pStyle w:val="BodyText"/>
      </w:pPr>
    </w:p>
    <w:p w:rsidR="00000000" w:rsidRPr="009963FD" w:rsidP="009963FD">
      <w:pPr>
        <w:pStyle w:val="Heading1"/>
      </w:pPr>
      <w:bookmarkStart w:id="3" w:name="O_755611"/>
      <w:bookmarkEnd w:id="3"/>
      <w:r w:rsidRPr="009963FD">
        <w:t>Pre-requisite Unit</w:t>
      </w:r>
    </w:p>
    <w:p w:rsidR="00E67745" w:rsidP="00E67745">
      <w:pPr>
        <w:pStyle w:val="BodyText"/>
      </w:pPr>
      <w:r w:rsidRPr="009963FD">
        <w:t>Not applicable.</w:t>
      </w:r>
    </w:p>
    <w:p w:rsidR="00000000" w:rsidRPr="009963FD" w:rsidP="009963FD">
      <w:pPr>
        <w:pStyle w:val="Heading1"/>
      </w:pPr>
      <w:bookmarkStart w:id="4" w:name="O_755612"/>
      <w:bookmarkEnd w:id="4"/>
      <w:r w:rsidRPr="009963FD">
        <w:t>Competency Field</w:t>
      </w:r>
    </w:p>
    <w:p w:rsidR="00E67745" w:rsidP="00E67745">
      <w:pPr>
        <w:pStyle w:val="BodyText"/>
      </w:pPr>
      <w:r w:rsidRPr="009963FD">
        <w:t>F – Safety Management</w:t>
      </w:r>
    </w:p>
    <w:p w:rsidR="00000000" w:rsidRPr="009963FD" w:rsidP="009963FD">
      <w:pPr>
        <w:pStyle w:val="Heading1"/>
      </w:pPr>
      <w:bookmarkStart w:id="5" w:name="O_755613"/>
      <w:bookmarkEnd w:id="5"/>
      <w:r w:rsidRPr="009963FD">
        <w:t>Unit Sector</w:t>
      </w:r>
    </w:p>
    <w:p w:rsidR="00E67745" w:rsidP="00E67745">
      <w:pPr>
        <w:pStyle w:val="BodyText"/>
      </w:pPr>
      <w:r w:rsidRPr="009963FD">
        <w:t>Not applicable.</w:t>
      </w:r>
    </w:p>
    <w:p w:rsidR="00000000" w:rsidRPr="009963FD" w:rsidP="009963FD">
      <w:pPr>
        <w:pStyle w:val="Heading1"/>
      </w:pPr>
      <w:bookmarkStart w:id="6" w:name="O_755614"/>
      <w:bookmarkEnd w:id="6"/>
      <w:r w:rsidRPr="009963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Performance criteria describe the performance needed to demonstrate achievement of the element.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rPr>
                <w:rStyle w:val="SpecialBold"/>
              </w:rPr>
              <w:t xml:space="preserve">Identify personal </w:t>
            </w:r>
            <w:r w:rsidRPr="009963FD">
              <w:rPr>
                <w:rStyle w:val="SpecialBold"/>
              </w:rPr>
              <w:t>and equipment lockout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Area and rolling stock to be locked out is identified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Appropriate lockouts are determined in accordance with activities to be undertaken and organisational policies and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Hazards are identified, risks are assessed and control measures are implemented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Appropriate documentation is co</w:t>
            </w:r>
            <w:r w:rsidRPr="009963FD">
              <w:t>mpleted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Appropriate personnel are informed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rPr>
                <w:rStyle w:val="SpecialBold"/>
              </w:rPr>
              <w:t>Apply and remove area lockout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Danger zone is safely accessed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Where existing lockouts are identified, appropriate personnel are contacted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Area lockouts are applied as required in accordance with organisational policies and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After all work has been completed and all sub lockouts have been removed, area lockout is removed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rPr>
                <w:rStyle w:val="SpecialBold"/>
              </w:rPr>
              <w:t>Apply and remove rolling stock lockout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Confirmation is made that area is locked out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Where existing lockouts are identified, appropriate personnel are contacted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Rolling stock lockouts are applied as required in accordance with organisational policies and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After all work h</w:t>
            </w:r>
            <w:r w:rsidRPr="009963FD">
              <w:t>as been completed and all sub lockouts have been removed, rolling stock lockout is removed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rPr>
                <w:rStyle w:val="SpecialBold"/>
              </w:rPr>
              <w:t>Apply and remove personal lockouts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Confirmation is made that area and rolling stock are locked out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Where existing lockouts are identified, appropriate personnel are contacted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Personal lockouts are applied as required in accordance with tasks to be performed and organisational policies and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After work has been completed all personal lockouts are removed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rPr>
                <w:rStyle w:val="SpecialBold"/>
              </w:rPr>
              <w:t>Maintain lockout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Any damaged or unserviceable equipment is labelled and reported in accordance with organisational procedures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t>Missing or damaged equipment is replaced in accordance with organisational procedures</w:t>
            </w:r>
          </w:p>
        </w:tc>
      </w:tr>
    </w:tbl>
    <w:p w:rsidR="00E67745" w:rsidP="009963FD">
      <w:pPr>
        <w:pStyle w:val="BodyText"/>
      </w:pPr>
    </w:p>
    <w:p w:rsidR="00E67745" w:rsidP="009963FD">
      <w:pPr>
        <w:pStyle w:val="BodyText"/>
      </w:pPr>
    </w:p>
    <w:p w:rsidR="00000000" w:rsidRPr="009963FD" w:rsidP="009963FD">
      <w:pPr>
        <w:pStyle w:val="Heading1"/>
      </w:pPr>
      <w:bookmarkStart w:id="7" w:name="O_755615"/>
      <w:bookmarkEnd w:id="7"/>
      <w:r w:rsidRPr="009963FD">
        <w:t>Foundation Skills</w:t>
      </w:r>
    </w:p>
    <w:p w:rsidR="00E67745" w:rsidP="00E67745">
      <w:pPr>
        <w:pStyle w:val="BodyText"/>
      </w:pPr>
      <w:r w:rsidRPr="009963FD">
        <w:t>Foundation skills essential to performance are explicit in the performance criteria of this unit of competency.</w:t>
      </w:r>
    </w:p>
    <w:p w:rsidR="00000000" w:rsidRPr="009963FD" w:rsidP="009963FD">
      <w:pPr>
        <w:pStyle w:val="Heading1"/>
      </w:pPr>
      <w:bookmarkStart w:id="8" w:name="O_755616"/>
      <w:bookmarkEnd w:id="8"/>
      <w:r w:rsidRPr="009963FD">
        <w:t>Ra</w:t>
      </w:r>
      <w:r w:rsidRPr="009963FD">
        <w:t>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t>Range is restricted to essential operating conditions and any other variables essential to the work environment.</w:t>
            </w:r>
          </w:p>
          <w:p w:rsidR="00000000" w:rsidRPr="009963FD" w:rsidP="009963FD">
            <w:pPr>
              <w:pStyle w:val="BodyText"/>
            </w:pPr>
            <w:r w:rsidRPr="009963FD">
              <w:t>Non-essential conditions can be found in the Companion Volume Implementation Guide.</w:t>
            </w:r>
          </w:p>
        </w:tc>
      </w:tr>
    </w:tbl>
    <w:p w:rsidR="00E67745" w:rsidP="009963FD">
      <w:pPr>
        <w:pStyle w:val="BodyText"/>
      </w:pPr>
    </w:p>
    <w:p w:rsidR="00E67745" w:rsidP="009963FD">
      <w:pPr>
        <w:pStyle w:val="BodyText"/>
      </w:pPr>
    </w:p>
    <w:p w:rsidR="00000000" w:rsidRPr="009963FD" w:rsidP="009963FD">
      <w:pPr>
        <w:pStyle w:val="Heading1"/>
      </w:pPr>
      <w:bookmarkStart w:id="9" w:name="O_755617"/>
      <w:bookmarkEnd w:id="9"/>
      <w:r w:rsidRPr="009963FD">
        <w:t>Unit Mapping Information</w:t>
      </w:r>
    </w:p>
    <w:p w:rsidR="00E67745" w:rsidP="00E67745">
      <w:pPr>
        <w:pStyle w:val="BodyText"/>
      </w:pPr>
      <w:r w:rsidRPr="009963FD">
        <w:t>This unit replaces and is equivalent to TLIF0098A Apply personal and equipment lockouts for rolling stock.</w:t>
      </w:r>
    </w:p>
    <w:p w:rsidR="00000000" w:rsidRPr="009963FD" w:rsidP="009963FD">
      <w:pPr>
        <w:pStyle w:val="Heading1"/>
      </w:pPr>
      <w:bookmarkStart w:id="10" w:name="O_755624"/>
      <w:bookmarkEnd w:id="10"/>
      <w:r w:rsidRPr="009963FD">
        <w:t>Links</w:t>
      </w:r>
    </w:p>
    <w:p w:rsidR="00000000" w:rsidRPr="009963FD" w:rsidP="00E67745">
      <w:pPr>
        <w:pStyle w:val="BodyText"/>
      </w:pPr>
      <w:r w:rsidRPr="00996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3F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63FD" w:rsidP="00E67745">
      <w:pPr>
        <w:pStyle w:val="BodyText"/>
        <w:sectPr w:rsidSect="009963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63FD" w:rsidP="009963FD">
      <w:pPr>
        <w:pStyle w:val="SuperHeading"/>
      </w:pPr>
      <w:r w:rsidRPr="009963FD">
        <w:t>Assessment Requirements for TLIF0098 Apply personal and equipment lockouts for rolling stock</w:t>
      </w:r>
    </w:p>
    <w:p w:rsidR="00000000" w:rsidRPr="009963FD" w:rsidP="009963FD">
      <w:pPr>
        <w:pStyle w:val="Heading1"/>
      </w:pPr>
      <w:bookmarkStart w:id="11" w:name="O_755619"/>
      <w:bookmarkEnd w:id="11"/>
      <w:r w:rsidRPr="009963FD">
        <w:t>Modification History</w:t>
      </w:r>
    </w:p>
    <w:p w:rsidR="00E67745" w:rsidP="00E67745">
      <w:pPr>
        <w:pStyle w:val="BodyText"/>
      </w:pPr>
      <w:r w:rsidRPr="009963FD">
        <w:t>Release 1. This is the first release of this unit of competency in the TLI Transport and Logistics Training Package.</w:t>
      </w:r>
    </w:p>
    <w:p w:rsidR="00000000" w:rsidRPr="009963FD" w:rsidP="009963FD">
      <w:pPr>
        <w:pStyle w:val="Heading1"/>
      </w:pPr>
      <w:bookmarkStart w:id="12" w:name="O_755620"/>
      <w:bookmarkEnd w:id="12"/>
      <w:r w:rsidRPr="009963F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 xml:space="preserve">Evidence required to demonstrate competence in this unit must be relevant to and satisfy all of the </w:t>
            </w:r>
            <w:r w:rsidRPr="009963FD">
              <w:t>requirements of the elements and performance criteria on at least one occasion and include: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ListBullet"/>
            </w:pPr>
            <w:r w:rsidRPr="009963FD">
              <w:t>applying relevant rail safety legislation and workplace procedures</w:t>
            </w:r>
          </w:p>
          <w:p w:rsidR="00000000" w:rsidRPr="009963FD" w:rsidP="009963FD">
            <w:pPr>
              <w:pStyle w:val="ListBullet"/>
            </w:pPr>
            <w:r w:rsidRPr="009963FD">
              <w:t>communicating effectively with individuals and work groups</w:t>
            </w:r>
          </w:p>
          <w:p w:rsidR="00000000" w:rsidRPr="009963FD" w:rsidP="009963FD">
            <w:pPr>
              <w:pStyle w:val="ListBullet"/>
            </w:pPr>
            <w:r w:rsidRPr="009963FD">
              <w:t xml:space="preserve">identifying job </w:t>
            </w:r>
            <w:r w:rsidRPr="009963FD">
              <w:t xml:space="preserve">hazards and taking required action to minimise, control or eliminate identified hazards </w:t>
            </w:r>
          </w:p>
          <w:p w:rsidR="00000000" w:rsidRPr="009963FD" w:rsidP="009963FD">
            <w:pPr>
              <w:pStyle w:val="ListBullet"/>
            </w:pPr>
            <w:r w:rsidRPr="009963FD">
              <w:t>identifying and following workplace procedures for locking out rolling stock</w:t>
            </w:r>
          </w:p>
          <w:p w:rsidR="00000000" w:rsidRPr="009963FD" w:rsidP="009963FD">
            <w:pPr>
              <w:pStyle w:val="ListBullet"/>
            </w:pPr>
            <w:r w:rsidRPr="009963FD">
              <w:t>identifying unsafe situations and emergencies</w:t>
            </w:r>
          </w:p>
          <w:p w:rsidR="00000000" w:rsidRPr="009963FD" w:rsidP="009963FD">
            <w:pPr>
              <w:pStyle w:val="ListBullet"/>
            </w:pPr>
            <w:r w:rsidRPr="009963FD">
              <w:t>removing rolling stock lockouts in accordanc</w:t>
            </w:r>
            <w:r w:rsidRPr="009963FD">
              <w:t>e with workplace procedures.</w:t>
            </w:r>
          </w:p>
        </w:tc>
      </w:tr>
    </w:tbl>
    <w:p w:rsidR="00E67745" w:rsidP="009963FD">
      <w:pPr>
        <w:pStyle w:val="BodyText"/>
      </w:pPr>
    </w:p>
    <w:p w:rsidR="00E67745" w:rsidP="009963FD">
      <w:pPr>
        <w:pStyle w:val="BodyText"/>
      </w:pPr>
    </w:p>
    <w:p w:rsidR="00000000" w:rsidRPr="009963FD" w:rsidP="009963FD">
      <w:pPr>
        <w:pStyle w:val="Heading1"/>
      </w:pPr>
      <w:bookmarkStart w:id="13" w:name="O_755621"/>
      <w:bookmarkEnd w:id="13"/>
      <w:r w:rsidRPr="009963F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FD">
            <w:pPr>
              <w:pStyle w:val="BodyText"/>
              <w:rPr>
                <w:lang w:val="en-NZ"/>
              </w:rPr>
            </w:pPr>
            <w:r w:rsidRPr="009963F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ListBullet"/>
            </w:pPr>
            <w:r w:rsidRPr="009963FD">
              <w:t>organisational safety management system policies, lockout/tag out procedures and/or isolation protocols</w:t>
            </w:r>
          </w:p>
          <w:p w:rsidR="00000000" w:rsidRPr="009963FD" w:rsidP="009963FD">
            <w:pPr>
              <w:pStyle w:val="ListBullet"/>
            </w:pPr>
            <w:r w:rsidRPr="009963FD">
              <w:t xml:space="preserve">Rail Infrastructure Manager policies, procedures and protocols for identified unsafe situations or emergencies </w:t>
            </w:r>
          </w:p>
          <w:p w:rsidR="00000000" w:rsidRPr="009963FD" w:rsidP="009963FD">
            <w:pPr>
              <w:pStyle w:val="ListBullet"/>
            </w:pPr>
            <w:r w:rsidRPr="009963FD">
              <w:t>relevant rail danger zones</w:t>
            </w:r>
          </w:p>
          <w:p w:rsidR="00000000" w:rsidRPr="009963FD" w:rsidP="009963FD">
            <w:pPr>
              <w:pStyle w:val="ListBullet"/>
            </w:pPr>
            <w:r w:rsidRPr="009963FD">
              <w:t>relevant work</w:t>
            </w:r>
            <w:r w:rsidRPr="009963FD">
              <w:t>place procedures for applying personal and equipment lockout systems for rolling stock.</w:t>
            </w:r>
          </w:p>
        </w:tc>
      </w:tr>
    </w:tbl>
    <w:p w:rsidR="00000000" w:rsidRPr="009963FD" w:rsidP="009963FD">
      <w:pPr>
        <w:pStyle w:val="BodyText"/>
      </w:pPr>
    </w:p>
    <w:p w:rsidR="00000000" w:rsidRPr="009963FD" w:rsidP="009963FD">
      <w:pPr>
        <w:pStyle w:val="AllowPageBreak"/>
      </w:pPr>
    </w:p>
    <w:p w:rsidR="00000000" w:rsidRPr="009963FD" w:rsidP="009963FD">
      <w:pPr>
        <w:pStyle w:val="Heading1"/>
      </w:pPr>
      <w:bookmarkStart w:id="14" w:name="O_755622"/>
      <w:bookmarkEnd w:id="14"/>
      <w:r w:rsidRPr="009963FD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77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FD" w:rsidP="009963FD">
            <w:pPr>
              <w:pStyle w:val="BodyText"/>
            </w:pPr>
            <w:r w:rsidRPr="009963FD">
              <w:t xml:space="preserve">As a minimum, assessors must satisfy applicable regulatory requirements, which include requirements in the </w:t>
            </w:r>
            <w:r w:rsidRPr="009963FD">
              <w:rPr>
                <w:rStyle w:val="Emphasis"/>
              </w:rPr>
              <w:t>Standards for Regist</w:t>
            </w:r>
            <w:r w:rsidRPr="009963FD">
              <w:rPr>
                <w:rStyle w:val="Emphasis"/>
              </w:rPr>
              <w:t>ered Training Organisations</w:t>
            </w:r>
            <w:r w:rsidRPr="009963FD">
              <w:t xml:space="preserve"> current at the time of assessment.</w:t>
            </w:r>
          </w:p>
          <w:p w:rsidR="00000000" w:rsidRPr="009963FD" w:rsidP="009963FD">
            <w:pPr>
              <w:pStyle w:val="BodyText"/>
            </w:pPr>
            <w:r w:rsidRPr="009963FD">
              <w:t xml:space="preserve">As a minimum, assessment must satisfy applicable regulatory requirements, which include requirements in the </w:t>
            </w:r>
            <w:r w:rsidRPr="009963FD">
              <w:rPr>
                <w:rStyle w:val="Emphasis"/>
              </w:rPr>
              <w:t>Standards for Registered Training Organisations</w:t>
            </w:r>
            <w:r w:rsidRPr="009963FD">
              <w:t xml:space="preserve"> current at the time of assessment.</w:t>
            </w:r>
          </w:p>
          <w:p w:rsidR="00000000" w:rsidRPr="009963FD" w:rsidP="009963FD">
            <w:pPr>
              <w:pStyle w:val="ListBullet"/>
            </w:pPr>
            <w:r w:rsidRPr="009963FD">
              <w:t>Practical assessment must occur in an appropriate range of situations in the rail workplace.</w:t>
            </w:r>
          </w:p>
          <w:p w:rsidR="00000000" w:rsidRPr="009963FD" w:rsidP="009963FD">
            <w:pPr>
              <w:pStyle w:val="BodyText"/>
            </w:pPr>
            <w:r w:rsidRPr="009963FD">
              <w:t>Assessment processes and techniques must be appropriate to the language, literacy and numeracy requirements of the work being performed and the needs of the candid</w:t>
            </w:r>
            <w:r w:rsidRPr="009963FD">
              <w:t>ate.</w:t>
            </w:r>
          </w:p>
          <w:p w:rsidR="00000000" w:rsidRPr="009963FD" w:rsidP="009963FD">
            <w:pPr>
              <w:pStyle w:val="BodyText"/>
            </w:pPr>
            <w:r w:rsidRPr="009963FD">
              <w:t>Resources for assessment include:</w:t>
            </w:r>
          </w:p>
          <w:p w:rsidR="00000000" w:rsidRPr="009963FD" w:rsidP="009963FD">
            <w:pPr>
              <w:pStyle w:val="ListBullet"/>
            </w:pPr>
            <w:r w:rsidRPr="009963FD">
              <w:t>a range of relevant exercises, case studies and/or simulations</w:t>
            </w:r>
          </w:p>
          <w:p w:rsidR="00000000" w:rsidRPr="009963FD" w:rsidP="009963FD">
            <w:pPr>
              <w:pStyle w:val="ListBullet"/>
            </w:pPr>
            <w:r w:rsidRPr="009963FD">
              <w:t>relevant and appropriate materials, tools, equipment and personal protective equipment currently used in industry</w:t>
            </w:r>
          </w:p>
          <w:p w:rsidR="00000000" w:rsidRPr="009963FD" w:rsidP="009963FD">
            <w:pPr>
              <w:pStyle w:val="ListBullet"/>
            </w:pPr>
            <w:r w:rsidRPr="009963FD">
              <w:t>applicable documentation and terminolog</w:t>
            </w:r>
            <w:r w:rsidRPr="009963FD">
              <w:t>y as defined by the relevant Rail Infrastructure Manager safeworking system including workplace procedures, regulations, rules and codes of practice.</w:t>
            </w:r>
          </w:p>
        </w:tc>
      </w:tr>
    </w:tbl>
    <w:p w:rsidR="00000000" w:rsidRPr="009963FD" w:rsidP="009963FD">
      <w:pPr>
        <w:pStyle w:val="BodyText"/>
      </w:pPr>
    </w:p>
    <w:p w:rsidR="00000000" w:rsidRPr="009963FD" w:rsidP="009963FD">
      <w:pPr>
        <w:pStyle w:val="AllowPageBreak"/>
      </w:pPr>
    </w:p>
    <w:p w:rsidR="00000000" w:rsidRPr="009963FD" w:rsidP="009963FD">
      <w:pPr>
        <w:pStyle w:val="Heading1"/>
      </w:pPr>
      <w:bookmarkStart w:id="15" w:name="O_755625"/>
      <w:bookmarkEnd w:id="15"/>
      <w:r w:rsidRPr="009963FD">
        <w:t>Links</w:t>
      </w:r>
    </w:p>
    <w:p w:rsidR="00000000" w:rsidRPr="009963FD" w:rsidP="00E67745">
      <w:pPr>
        <w:pStyle w:val="BodyText"/>
      </w:pPr>
      <w:r w:rsidRPr="00996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3F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63FD" w:rsidP="009963FD"/>
    <w:sectPr w:rsidSect="009963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FD" w:rsidRPr="00E67745" w:rsidP="00E67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45" w:rsidP="00996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745" w:rsidP="00996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7745" w:rsidP="009963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FD" w:rsidP="00996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745">
      <w:t>Approved</w:t>
    </w:r>
    <w:r w:rsidR="00E677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7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745">
      <w:rPr>
        <w:noProof/>
      </w:rPr>
      <w:t>4</w:t>
    </w:r>
    <w:r>
      <w:rPr>
        <w:noProof/>
      </w:rPr>
      <w:fldChar w:fldCharType="end"/>
    </w:r>
  </w:p>
  <w:p w:rsidR="009963FD" w:rsidP="00996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7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745">
      <w:t>Industry Skills Australia</w:t>
    </w:r>
    <w:r w:rsidR="00E67745">
      <w:fldChar w:fldCharType="end"/>
    </w:r>
  </w:p>
  <w:p w:rsidR="009963FD" w:rsidP="00996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3FD" w:rsidRPr="00E67745" w:rsidP="00E67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45" w:rsidRPr="002D2AF8" w:rsidP="00996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TLIF0098 Apply personal and equipment lockouts for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745" w:rsidP="009963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FD" w:rsidRPr="002D2AF8" w:rsidP="00996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745">
      <w:t>TLIF0098 Apply personal and equipment lockouts for rolling stock</w:t>
    </w:r>
    <w:r w:rsidR="00E677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745">
      <w:rPr>
        <w:noProof/>
      </w:rPr>
      <w:t>2 March 2025</w:t>
    </w:r>
    <w:r>
      <w:fldChar w:fldCharType="end"/>
    </w:r>
  </w:p>
  <w:p w:rsidR="009963FD" w:rsidP="00996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A2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0A14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3FD"/>
  </w:style>
  <w:style w:type="character" w:customStyle="1" w:styleId="Heading1Char">
    <w:name w:val="Heading 1 Char"/>
    <w:basedOn w:val="DefaultParagraphFont"/>
    <w:link w:val="Heading1"/>
    <w:rsid w:val="00996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3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3FD"/>
    <w:rPr>
      <w:b/>
      <w:spacing w:val="0"/>
    </w:rPr>
  </w:style>
  <w:style w:type="character" w:styleId="Emphasis">
    <w:name w:val="Emphasis"/>
    <w:basedOn w:val="DefaultParagraphFont"/>
    <w:qFormat/>
    <w:rsid w:val="009963FD"/>
    <w:rPr>
      <w:i/>
    </w:rPr>
  </w:style>
  <w:style w:type="paragraph" w:customStyle="1" w:styleId="SuperHeading">
    <w:name w:val="SuperHeading"/>
    <w:basedOn w:val="Normal"/>
    <w:rsid w:val="00996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3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3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3FD"/>
  </w:style>
  <w:style w:type="paragraph" w:styleId="TableofFigures">
    <w:name w:val="table of figures"/>
    <w:basedOn w:val="Normal"/>
    <w:next w:val="Normal"/>
    <w:semiHidden/>
    <w:rsid w:val="00996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3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3FD"/>
    <w:rPr>
      <w:rFonts w:ascii="Wingdings" w:hAnsi="Wingdings"/>
    </w:rPr>
  </w:style>
  <w:style w:type="paragraph" w:customStyle="1" w:styleId="TableHeading">
    <w:name w:val="Table Heading"/>
    <w:basedOn w:val="HeadingBase"/>
    <w:rsid w:val="00996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3FD"/>
    <w:rPr>
      <w:color w:val="0033CC"/>
      <w:u w:val="none"/>
    </w:rPr>
  </w:style>
  <w:style w:type="paragraph" w:customStyle="1" w:styleId="BodyTextRight">
    <w:name w:val="Body Text Right"/>
    <w:basedOn w:val="BodyText"/>
    <w:rsid w:val="00996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3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3FD"/>
    <w:rPr>
      <w:sz w:val="32"/>
    </w:rPr>
  </w:style>
  <w:style w:type="paragraph" w:customStyle="1" w:styleId="HeadingProcedure">
    <w:name w:val="Heading Procedure"/>
    <w:basedOn w:val="HeadingBase"/>
    <w:next w:val="Normal"/>
    <w:rsid w:val="00996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3FD"/>
    <w:pPr>
      <w:spacing w:before="60" w:after="60"/>
    </w:pPr>
  </w:style>
  <w:style w:type="paragraph" w:styleId="ListContinue">
    <w:name w:val="List Continue"/>
    <w:basedOn w:val="List"/>
    <w:rsid w:val="009963FD"/>
    <w:pPr>
      <w:ind w:firstLine="0"/>
    </w:pPr>
  </w:style>
  <w:style w:type="paragraph" w:customStyle="1" w:styleId="ListNote">
    <w:name w:val="List Note"/>
    <w:basedOn w:val="List"/>
    <w:rsid w:val="00996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3FD"/>
    <w:rPr>
      <w:rFonts w:ascii="Courier New" w:hAnsi="Courier New"/>
    </w:rPr>
  </w:style>
  <w:style w:type="paragraph" w:customStyle="1" w:styleId="NoteBullet">
    <w:name w:val="Note Bullet"/>
    <w:basedOn w:val="Note"/>
    <w:rsid w:val="00996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3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3FD"/>
    <w:rPr>
      <w:b/>
      <w:smallCaps/>
    </w:rPr>
  </w:style>
  <w:style w:type="paragraph" w:customStyle="1" w:styleId="TableListNumber">
    <w:name w:val="Table List Number"/>
    <w:basedOn w:val="ListNumber"/>
    <w:rsid w:val="00996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3FD"/>
    <w:pPr>
      <w:numPr>
        <w:numId w:val="8"/>
      </w:numPr>
    </w:pPr>
  </w:style>
  <w:style w:type="paragraph" w:customStyle="1" w:styleId="ListAlpha2">
    <w:name w:val="List Alpha 2"/>
    <w:basedOn w:val="List2"/>
    <w:rsid w:val="009963FD"/>
    <w:pPr>
      <w:numPr>
        <w:numId w:val="7"/>
      </w:numPr>
    </w:pPr>
  </w:style>
  <w:style w:type="paragraph" w:styleId="List2">
    <w:name w:val="List 2"/>
    <w:basedOn w:val="BodyText"/>
    <w:rsid w:val="00996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3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3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3FD"/>
    <w:pPr>
      <w:numPr>
        <w:numId w:val="3"/>
      </w:numPr>
    </w:pPr>
  </w:style>
  <w:style w:type="paragraph" w:styleId="ListContinue2">
    <w:name w:val="List Continue 2"/>
    <w:basedOn w:val="List2"/>
    <w:rsid w:val="009963FD"/>
    <w:pPr>
      <w:ind w:firstLine="0"/>
    </w:pPr>
  </w:style>
  <w:style w:type="paragraph" w:styleId="ListContinue3">
    <w:name w:val="List Continue 3"/>
    <w:basedOn w:val="List3"/>
    <w:rsid w:val="009963FD"/>
    <w:pPr>
      <w:ind w:left="1021" w:firstLine="0"/>
    </w:pPr>
  </w:style>
  <w:style w:type="paragraph" w:styleId="ListContinue4">
    <w:name w:val="List Continue 4"/>
    <w:basedOn w:val="List4"/>
    <w:rsid w:val="009963FD"/>
    <w:pPr>
      <w:ind w:firstLine="0"/>
    </w:pPr>
  </w:style>
  <w:style w:type="paragraph" w:styleId="ListContinue5">
    <w:name w:val="List Continue 5"/>
    <w:basedOn w:val="List5"/>
    <w:rsid w:val="009963FD"/>
    <w:pPr>
      <w:ind w:firstLine="0"/>
    </w:pPr>
  </w:style>
  <w:style w:type="paragraph" w:styleId="ListNumber3">
    <w:name w:val="List Number 3"/>
    <w:basedOn w:val="List3"/>
    <w:rsid w:val="009963FD"/>
    <w:pPr>
      <w:numPr>
        <w:numId w:val="4"/>
      </w:numPr>
    </w:pPr>
  </w:style>
  <w:style w:type="paragraph" w:styleId="ListNumber4">
    <w:name w:val="List Number 4"/>
    <w:basedOn w:val="List4"/>
    <w:rsid w:val="009963FD"/>
    <w:pPr>
      <w:numPr>
        <w:numId w:val="5"/>
      </w:numPr>
    </w:pPr>
  </w:style>
  <w:style w:type="paragraph" w:styleId="ListNumber5">
    <w:name w:val="List Number 5"/>
    <w:basedOn w:val="List5"/>
    <w:rsid w:val="009963FD"/>
    <w:pPr>
      <w:numPr>
        <w:numId w:val="6"/>
      </w:numPr>
    </w:pPr>
  </w:style>
  <w:style w:type="paragraph" w:styleId="BlockText">
    <w:name w:val="Block Text"/>
    <w:basedOn w:val="Normal"/>
    <w:rsid w:val="00996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3FD"/>
    <w:rPr>
      <w:sz w:val="16"/>
      <w:vertAlign w:val="superscript"/>
    </w:rPr>
  </w:style>
  <w:style w:type="character" w:customStyle="1" w:styleId="Symbols">
    <w:name w:val="Symbols"/>
    <w:basedOn w:val="DefaultParagraphFont"/>
    <w:rsid w:val="009963FD"/>
    <w:rPr>
      <w:rFonts w:ascii="Symbol" w:hAnsi="Symbol"/>
    </w:rPr>
  </w:style>
  <w:style w:type="character" w:customStyle="1" w:styleId="MenuOptions">
    <w:name w:val="Menu Options"/>
    <w:basedOn w:val="DefaultParagraphFont"/>
    <w:rsid w:val="00996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3FD"/>
    <w:rPr>
      <w:b/>
    </w:rPr>
  </w:style>
  <w:style w:type="character" w:customStyle="1" w:styleId="Underlined">
    <w:name w:val="Underlined"/>
    <w:basedOn w:val="DefaultParagraphFont"/>
    <w:rsid w:val="009963FD"/>
    <w:rPr>
      <w:u w:val="single"/>
    </w:rPr>
  </w:style>
  <w:style w:type="paragraph" w:customStyle="1" w:styleId="TableBodyTextRight">
    <w:name w:val="Table Body Text Right"/>
    <w:basedOn w:val="TableBodyText"/>
    <w:rsid w:val="00996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3FD"/>
    <w:rPr>
      <w:sz w:val="18"/>
    </w:rPr>
  </w:style>
  <w:style w:type="paragraph" w:customStyle="1" w:styleId="BodySmallRight">
    <w:name w:val="Body Small Right"/>
    <w:basedOn w:val="BodyTextRight"/>
    <w:rsid w:val="009963FD"/>
    <w:rPr>
      <w:sz w:val="18"/>
      <w:szCs w:val="18"/>
    </w:rPr>
  </w:style>
  <w:style w:type="paragraph" w:customStyle="1" w:styleId="MarginEdition">
    <w:name w:val="Margin Edition"/>
    <w:basedOn w:val="MarginNote"/>
    <w:rsid w:val="00996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3FD"/>
    <w:rPr>
      <w:sz w:val="2"/>
      <w:szCs w:val="2"/>
    </w:rPr>
  </w:style>
  <w:style w:type="character" w:customStyle="1" w:styleId="Small">
    <w:name w:val="Small"/>
    <w:basedOn w:val="DefaultParagraphFont"/>
    <w:rsid w:val="009963FD"/>
    <w:rPr>
      <w:sz w:val="16"/>
    </w:rPr>
  </w:style>
  <w:style w:type="paragraph" w:customStyle="1" w:styleId="WideTable">
    <w:name w:val="Wide Table"/>
    <w:basedOn w:val="Normal"/>
    <w:rsid w:val="00996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3FD"/>
  </w:style>
  <w:style w:type="paragraph" w:styleId="Quote">
    <w:name w:val="Quote"/>
    <w:basedOn w:val="Heading1"/>
    <w:link w:val="QuoteChar"/>
    <w:qFormat/>
    <w:rsid w:val="00996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3FD"/>
    <w:pPr>
      <w:pageBreakBefore/>
    </w:pPr>
  </w:style>
  <w:style w:type="paragraph" w:customStyle="1" w:styleId="Border">
    <w:name w:val="Border"/>
    <w:basedOn w:val="Normal"/>
    <w:qFormat/>
    <w:rsid w:val="00996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3FD"/>
    <w:rPr>
      <w:u w:val="single"/>
    </w:rPr>
  </w:style>
  <w:style w:type="character" w:customStyle="1" w:styleId="BoldandItalics">
    <w:name w:val="Bold and Italics"/>
    <w:qFormat/>
    <w:rsid w:val="009963FD"/>
    <w:rPr>
      <w:b/>
      <w:i/>
      <w:u w:val="none"/>
    </w:rPr>
  </w:style>
  <w:style w:type="paragraph" w:styleId="BalloonText">
    <w:name w:val="Balloon Text"/>
    <w:basedOn w:val="Normal"/>
    <w:link w:val="BalloonTextChar"/>
    <w:rsid w:val="00996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3FD"/>
    <w:pPr>
      <w:spacing w:before="0" w:after="0"/>
    </w:pPr>
  </w:style>
  <w:style w:type="paragraph" w:customStyle="1" w:styleId="BodyTextBold">
    <w:name w:val="Body Text Bold"/>
    <w:basedOn w:val="BodyText"/>
    <w:qFormat/>
    <w:rsid w:val="009963FD"/>
    <w:rPr>
      <w:b/>
    </w:rPr>
  </w:style>
  <w:style w:type="character" w:styleId="Hyperlink">
    <w:name w:val="Hyperlink"/>
    <w:basedOn w:val="DefaultParagraphFont"/>
    <w:uiPriority w:val="99"/>
    <w:unhideWhenUsed/>
    <w:rsid w:val="00E67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5894</Characters>
  <Application>Microsoft Office Word</Application>
  <DocSecurity>0</DocSecurity>
  <Lines>203</Lines>
  <Paragraphs>126</Paragraphs>
  <ScaleCrop>false</ScaleCrop>
  <Company>Author-it Software Corporation Ltd.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TLIF0098 Apply personal and equipment lockouts for rolling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