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F41" w:rsidP="008A0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TLIF0079 Select a safe vehicle</w:t>
      </w:r>
      <w:r>
        <w:fldChar w:fldCharType="end"/>
      </w:r>
    </w:p>
    <w:p w:rsidR="008A0F41" w:rsidP="008A0F41">
      <w:pPr>
        <w:pStyle w:val="Version"/>
        <w:sectPr w:rsidSect="003E6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6C3B" w:rsidP="003E6C3B">
      <w:pPr>
        <w:pStyle w:val="SuperHeading"/>
      </w:pPr>
      <w:r w:rsidRPr="003E6C3B">
        <w:t>Assessment Requirements for TLIF0079 Select a safe vehicle</w:t>
      </w:r>
    </w:p>
    <w:p w:rsidR="00000000" w:rsidRPr="003E6C3B" w:rsidP="003E6C3B">
      <w:pPr>
        <w:pStyle w:val="Heading1"/>
      </w:pPr>
      <w:bookmarkStart w:id="1" w:name="O_1067181"/>
      <w:bookmarkEnd w:id="1"/>
      <w:r w:rsidRPr="003E6C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C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3B" w:rsidP="003E6C3B">
            <w:pPr>
              <w:pStyle w:val="BodyText"/>
            </w:pPr>
            <w:r w:rsidRPr="003E6C3B">
              <w:rPr>
                <w:rStyle w:val="SpecialBold"/>
              </w:rPr>
              <w:t>Release 2</w:t>
            </w:r>
            <w:r w:rsidRPr="003E6C3B">
              <w:t>. This is the second release of this unit of competency in the TLI Transport and Logistics Training Package:</w:t>
            </w:r>
          </w:p>
          <w:p w:rsidR="00000000" w:rsidP="003E6C3B">
            <w:pPr>
              <w:pStyle w:val="ListBullet"/>
              <w:rPr>
                <w:lang w:val="en-NZ"/>
              </w:rPr>
            </w:pPr>
            <w:r w:rsidRPr="003E6C3B">
              <w:t>Minor statement changes in Assessment Conditions.</w:t>
            </w:r>
          </w:p>
        </w:tc>
      </w:tr>
      <w:tr w:rsidTr="003E6C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3B" w:rsidP="003E6C3B">
            <w:pPr>
              <w:pStyle w:val="BodyText"/>
            </w:pPr>
            <w:r w:rsidRPr="003E6C3B">
              <w:rPr>
                <w:rStyle w:val="SpecialBold"/>
              </w:rPr>
              <w:t>Release 1</w:t>
            </w:r>
            <w:r w:rsidRPr="003E6C3B">
              <w:t>. This is the first release of this un</w:t>
            </w:r>
            <w:r w:rsidRPr="003E6C3B">
              <w:t>it of competency in the TLI Transport and Logistics Training Package.</w:t>
            </w:r>
          </w:p>
        </w:tc>
      </w:tr>
    </w:tbl>
    <w:p w:rsidR="00000000" w:rsidRPr="003E6C3B" w:rsidP="003E6C3B">
      <w:pPr>
        <w:pStyle w:val="NoPaddingFontSize1"/>
      </w:pPr>
    </w:p>
    <w:p w:rsidR="00000000" w:rsidRPr="003E6C3B" w:rsidP="003E6C3B">
      <w:pPr>
        <w:pStyle w:val="AllowPageBreak"/>
      </w:pPr>
    </w:p>
    <w:p w:rsidR="00000000" w:rsidRPr="003E6C3B" w:rsidP="003E6C3B">
      <w:pPr>
        <w:pStyle w:val="Heading1"/>
      </w:pPr>
      <w:bookmarkStart w:id="2" w:name="O_1067180"/>
      <w:bookmarkEnd w:id="2"/>
      <w:r w:rsidRPr="003E6C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C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3B" w:rsidP="003E6C3B">
            <w:pPr>
              <w:pStyle w:val="BodyText"/>
            </w:pPr>
            <w:r w:rsidRPr="003E6C3B">
              <w:t>Evidence required to demonstrate competence in this unit must be relevant to and satisfy all of the requirements of the elements and performance</w:t>
            </w:r>
            <w:r w:rsidRPr="003E6C3B">
              <w:t xml:space="preserve"> criteria on at least one occasion and include:</w:t>
            </w:r>
          </w:p>
          <w:p w:rsidR="00000000" w:rsidRPr="003E6C3B" w:rsidP="003E6C3B">
            <w:pPr>
              <w:pStyle w:val="ListBullet"/>
            </w:pPr>
            <w:r w:rsidRPr="003E6C3B">
              <w:t>completing basic documentation</w:t>
            </w:r>
          </w:p>
          <w:p w:rsidR="00000000" w:rsidRPr="003E6C3B" w:rsidP="003E6C3B">
            <w:pPr>
              <w:pStyle w:val="ListBullet"/>
            </w:pPr>
            <w:r w:rsidRPr="003E6C3B">
              <w:t>explaining major aspects of selecting a safe and appropriate motor vehicle for learner drivers</w:t>
            </w:r>
          </w:p>
          <w:p w:rsidR="00000000" w:rsidRPr="003E6C3B" w:rsidP="003E6C3B">
            <w:pPr>
              <w:pStyle w:val="ListBullet"/>
            </w:pPr>
            <w:r w:rsidRPr="003E6C3B">
              <w:t>identifying criteria for selecting a motor vehicle</w:t>
            </w:r>
          </w:p>
          <w:p w:rsidR="00000000" w:rsidRPr="003E6C3B" w:rsidP="003E6C3B">
            <w:pPr>
              <w:pStyle w:val="ListBullet"/>
            </w:pPr>
            <w:r w:rsidRPr="003E6C3B">
              <w:t>identifying vehicle safety fea</w:t>
            </w:r>
            <w:r w:rsidRPr="003E6C3B">
              <w:t>tures and evaluating required action to minimise, control or eliminate potential hazards</w:t>
            </w:r>
          </w:p>
          <w:p w:rsidR="00000000" w:rsidRPr="003E6C3B" w:rsidP="003E6C3B">
            <w:pPr>
              <w:pStyle w:val="ListBullet"/>
            </w:pPr>
            <w:r w:rsidRPr="003E6C3B">
              <w:t>reading and interpreting instructions, procedures and information.</w:t>
            </w:r>
          </w:p>
        </w:tc>
      </w:tr>
    </w:tbl>
    <w:p w:rsidR="00000000" w:rsidRPr="003E6C3B" w:rsidP="003E6C3B">
      <w:pPr>
        <w:pStyle w:val="NoPaddingFontSize1"/>
      </w:pPr>
    </w:p>
    <w:p w:rsidR="00000000" w:rsidRPr="003E6C3B" w:rsidP="003E6C3B">
      <w:pPr>
        <w:pStyle w:val="AllowPageBreak"/>
      </w:pPr>
    </w:p>
    <w:p w:rsidR="00000000" w:rsidRPr="003E6C3B" w:rsidP="003E6C3B">
      <w:pPr>
        <w:pStyle w:val="Heading1"/>
      </w:pPr>
      <w:bookmarkStart w:id="3" w:name="O_1067179"/>
      <w:bookmarkEnd w:id="3"/>
      <w:r w:rsidRPr="003E6C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C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3B" w:rsidP="003E6C3B">
            <w:pPr>
              <w:pStyle w:val="BodyText"/>
            </w:pPr>
            <w:r w:rsidRPr="003E6C3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E6C3B" w:rsidP="003E6C3B">
            <w:pPr>
              <w:pStyle w:val="ListBullet"/>
            </w:pPr>
            <w:r w:rsidRPr="003E6C3B">
              <w:t>active motor vehicle safety features including:</w:t>
            </w:r>
          </w:p>
          <w:p w:rsidR="00000000" w:rsidRPr="003E6C3B" w:rsidP="003E6C3B">
            <w:pPr>
              <w:pStyle w:val="ListBullet2"/>
            </w:pPr>
            <w:r w:rsidRPr="003E6C3B">
              <w:t>anti-lock braking system (</w:t>
            </w:r>
            <w:r w:rsidRPr="003E6C3B">
              <w:t>ABS)</w:t>
            </w:r>
          </w:p>
          <w:p w:rsidR="00000000" w:rsidRPr="003E6C3B" w:rsidP="003E6C3B">
            <w:pPr>
              <w:pStyle w:val="ListBullet2"/>
            </w:pPr>
            <w:r w:rsidRPr="003E6C3B">
              <w:t>electronic brake assist (EBA)</w:t>
            </w:r>
          </w:p>
          <w:p w:rsidR="00000000" w:rsidRPr="003E6C3B" w:rsidP="003E6C3B">
            <w:pPr>
              <w:pStyle w:val="ListBullet2"/>
            </w:pPr>
            <w:r w:rsidRPr="003E6C3B">
              <w:t>electronic brake force distribution (EBD)</w:t>
            </w:r>
          </w:p>
          <w:p w:rsidR="00000000" w:rsidRPr="003E6C3B" w:rsidP="003E6C3B">
            <w:pPr>
              <w:pStyle w:val="ListBullet2"/>
            </w:pPr>
            <w:r w:rsidRPr="003E6C3B">
              <w:t>electronic stability control (ESC)</w:t>
            </w:r>
          </w:p>
          <w:p w:rsidR="00000000" w:rsidRPr="003E6C3B" w:rsidP="003E6C3B">
            <w:pPr>
              <w:pStyle w:val="ListBullet2"/>
            </w:pPr>
            <w:r w:rsidRPr="003E6C3B">
              <w:t>safety assist technologies (SAT)</w:t>
            </w:r>
          </w:p>
          <w:p w:rsidR="00000000" w:rsidRPr="003E6C3B" w:rsidP="003E6C3B">
            <w:pPr>
              <w:pStyle w:val="ListBullet2"/>
            </w:pPr>
            <w:r w:rsidRPr="003E6C3B">
              <w:t>seat belt pre-tensioners</w:t>
            </w:r>
          </w:p>
          <w:p w:rsidR="00000000" w:rsidRPr="003E6C3B" w:rsidP="003E6C3B">
            <w:pPr>
              <w:pStyle w:val="ListBullet2"/>
            </w:pPr>
            <w:r w:rsidRPr="003E6C3B">
              <w:t>speed alert</w:t>
            </w:r>
          </w:p>
          <w:p w:rsidR="00000000" w:rsidRPr="003E6C3B" w:rsidP="003E6C3B">
            <w:pPr>
              <w:pStyle w:val="ListBullet2"/>
            </w:pPr>
            <w:r w:rsidRPr="003E6C3B">
              <w:t>structural integrity</w:t>
            </w:r>
          </w:p>
          <w:p w:rsidR="00000000" w:rsidRPr="003E6C3B" w:rsidP="003E6C3B">
            <w:pPr>
              <w:pStyle w:val="ListBullet2"/>
            </w:pPr>
            <w:r w:rsidRPr="003E6C3B">
              <w:t>tyres</w:t>
            </w:r>
          </w:p>
          <w:p w:rsidR="00000000" w:rsidRPr="003E6C3B" w:rsidP="003E6C3B">
            <w:pPr>
              <w:pStyle w:val="ListBullet"/>
            </w:pPr>
            <w:r w:rsidRPr="003E6C3B">
              <w:t>motor vehicle hazards and risks rating</w:t>
            </w:r>
          </w:p>
          <w:p w:rsidR="00000000" w:rsidRPr="003E6C3B" w:rsidP="003E6C3B">
            <w:pPr>
              <w:pStyle w:val="ListBullet"/>
            </w:pPr>
            <w:r w:rsidRPr="003E6C3B">
              <w:t>motor vehicle standards, regulations and rules</w:t>
            </w:r>
          </w:p>
          <w:p w:rsidR="00000000" w:rsidRPr="003E6C3B" w:rsidP="003E6C3B">
            <w:pPr>
              <w:pStyle w:val="ListBullet"/>
            </w:pPr>
            <w:r w:rsidRPr="003E6C3B">
              <w:t>passive motor vehicle safety features including:</w:t>
            </w:r>
          </w:p>
          <w:p w:rsidR="00000000" w:rsidRPr="003E6C3B" w:rsidP="003E6C3B">
            <w:pPr>
              <w:pStyle w:val="ListBullet2"/>
            </w:pPr>
            <w:r w:rsidRPr="003E6C3B">
              <w:t>air conditioning</w:t>
            </w:r>
          </w:p>
          <w:p w:rsidR="00000000" w:rsidRPr="003E6C3B" w:rsidP="003E6C3B">
            <w:pPr>
              <w:pStyle w:val="ListBullet2"/>
            </w:pPr>
            <w:r w:rsidRPr="003E6C3B">
              <w:t>airbags (front/side/curtain)</w:t>
            </w:r>
          </w:p>
          <w:p w:rsidR="00000000" w:rsidRPr="003E6C3B" w:rsidP="003E6C3B">
            <w:pPr>
              <w:pStyle w:val="ListBullet2"/>
            </w:pPr>
            <w:r w:rsidRPr="003E6C3B">
              <w:t>automatic transmission</w:t>
            </w:r>
          </w:p>
          <w:p w:rsidR="00000000" w:rsidRPr="003E6C3B" w:rsidP="003E6C3B">
            <w:pPr>
              <w:pStyle w:val="ListBullet2"/>
            </w:pPr>
            <w:r w:rsidRPr="003E6C3B">
              <w:t>cargo barrier</w:t>
            </w:r>
          </w:p>
          <w:p w:rsidR="00000000" w:rsidRPr="003E6C3B" w:rsidP="003E6C3B">
            <w:pPr>
              <w:pStyle w:val="ListBullet2"/>
            </w:pPr>
            <w:r w:rsidRPr="003E6C3B">
              <w:t>cruise control</w:t>
            </w:r>
          </w:p>
          <w:p w:rsidR="00000000" w:rsidRPr="003E6C3B" w:rsidP="003E6C3B">
            <w:pPr>
              <w:pStyle w:val="ListBullet2"/>
            </w:pPr>
            <w:r w:rsidRPr="003E6C3B">
              <w:t>daytime running lights</w:t>
            </w:r>
          </w:p>
          <w:p w:rsidR="00000000" w:rsidRPr="003E6C3B" w:rsidP="003E6C3B">
            <w:pPr>
              <w:pStyle w:val="ListBullet2"/>
            </w:pPr>
            <w:r w:rsidRPr="003E6C3B">
              <w:t>frontal impact protection</w:t>
            </w:r>
          </w:p>
          <w:p w:rsidR="00000000" w:rsidRPr="003E6C3B" w:rsidP="003E6C3B">
            <w:pPr>
              <w:pStyle w:val="ListBullet2"/>
            </w:pPr>
            <w:r w:rsidRPr="003E6C3B">
              <w:t>head restraints</w:t>
            </w:r>
          </w:p>
          <w:p w:rsidR="00000000" w:rsidRPr="003E6C3B" w:rsidP="003E6C3B">
            <w:pPr>
              <w:pStyle w:val="ListBullet2"/>
            </w:pPr>
            <w:r w:rsidRPr="003E6C3B">
              <w:t>mirrors</w:t>
            </w:r>
          </w:p>
          <w:p w:rsidR="00000000" w:rsidRPr="003E6C3B" w:rsidP="003E6C3B">
            <w:pPr>
              <w:pStyle w:val="ListBullet2"/>
            </w:pPr>
            <w:r w:rsidRPr="003E6C3B">
              <w:t>over-speed warning devices</w:t>
            </w:r>
          </w:p>
          <w:p w:rsidR="00000000" w:rsidRPr="003E6C3B" w:rsidP="003E6C3B">
            <w:pPr>
              <w:pStyle w:val="ListBullet2"/>
            </w:pPr>
            <w:r w:rsidRPr="003E6C3B">
              <w:t>seat belts</w:t>
            </w:r>
          </w:p>
          <w:p w:rsidR="00000000" w:rsidRPr="003E6C3B" w:rsidP="003E6C3B">
            <w:pPr>
              <w:pStyle w:val="ListBullet2"/>
            </w:pPr>
            <w:r w:rsidRPr="003E6C3B">
              <w:t>seats</w:t>
            </w:r>
          </w:p>
          <w:p w:rsidR="00000000" w:rsidRPr="003E6C3B" w:rsidP="003E6C3B">
            <w:pPr>
              <w:pStyle w:val="ListBullet2"/>
            </w:pPr>
            <w:r w:rsidRPr="003E6C3B">
              <w:t>steering wheel</w:t>
            </w:r>
          </w:p>
          <w:p w:rsidR="00000000" w:rsidRPr="003E6C3B" w:rsidP="003E6C3B">
            <w:pPr>
              <w:pStyle w:val="ListBullet"/>
            </w:pPr>
            <w:r w:rsidRPr="003E6C3B">
              <w:t>workplace procurement procedures.</w:t>
            </w:r>
          </w:p>
        </w:tc>
      </w:tr>
    </w:tbl>
    <w:p w:rsidR="00000000" w:rsidRPr="003E6C3B" w:rsidP="003E6C3B">
      <w:pPr>
        <w:pStyle w:val="NoPaddingFontSize1"/>
      </w:pPr>
    </w:p>
    <w:p w:rsidR="00000000" w:rsidRPr="003E6C3B" w:rsidP="003E6C3B">
      <w:pPr>
        <w:pStyle w:val="AllowPageBreak"/>
      </w:pPr>
    </w:p>
    <w:p w:rsidR="00000000" w:rsidRPr="003E6C3B" w:rsidP="003E6C3B">
      <w:pPr>
        <w:pStyle w:val="Heading1"/>
      </w:pPr>
      <w:bookmarkStart w:id="4" w:name="O_1067178"/>
      <w:bookmarkEnd w:id="4"/>
      <w:r w:rsidRPr="003E6C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6C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C3B" w:rsidP="003E6C3B">
            <w:pPr>
              <w:pStyle w:val="BodyText"/>
            </w:pPr>
            <w:r w:rsidRPr="003E6C3B">
              <w:t xml:space="preserve">Assessors must hold credentials specified within the Standards for Registered Training Organisations current at the time of assessment. </w:t>
            </w:r>
          </w:p>
          <w:p w:rsidR="00000000" w:rsidRPr="003E6C3B" w:rsidP="003E6C3B">
            <w:pPr>
              <w:pStyle w:val="BodyText"/>
            </w:pPr>
            <w:r w:rsidRPr="003E6C3B">
              <w:t>Assessment must satisfy the Principles of Assessment and Rules of Evidence and all regulatory requirements included wit</w:t>
            </w:r>
            <w:r w:rsidRPr="003E6C3B">
              <w:t>hin the Standards for Registered Training Organisations current at the time of assessment.</w:t>
            </w:r>
          </w:p>
          <w:p w:rsidR="00000000" w:rsidRPr="003E6C3B" w:rsidP="003E6C3B">
            <w:pPr>
              <w:pStyle w:val="BodyText"/>
            </w:pPr>
            <w:r w:rsidRPr="003E6C3B">
              <w:t>Assessment must occur in workplace operational situations where it is appropriate to do so; where this is not appropriate, assessment must occur in simulated workpla</w:t>
            </w:r>
            <w:r w:rsidRPr="003E6C3B">
              <w:t>ce operational situations that replicate workplace conditions.</w:t>
            </w:r>
          </w:p>
          <w:p w:rsidR="00000000" w:rsidRPr="003E6C3B" w:rsidP="003E6C3B">
            <w:pPr>
              <w:pStyle w:val="BodyText"/>
            </w:pPr>
            <w:r w:rsidRPr="003E6C3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E6C3B" w:rsidP="003E6C3B">
            <w:pPr>
              <w:pStyle w:val="BodyText"/>
            </w:pPr>
            <w:r w:rsidRPr="003E6C3B">
              <w:t xml:space="preserve">Resources for assessment </w:t>
            </w:r>
            <w:r w:rsidRPr="003E6C3B">
              <w:t>must include:</w:t>
            </w:r>
          </w:p>
          <w:p w:rsidR="00000000" w:rsidRPr="003E6C3B" w:rsidP="003E6C3B">
            <w:pPr>
              <w:pStyle w:val="ListBullet"/>
            </w:pPr>
            <w:r w:rsidRPr="003E6C3B">
              <w:t>a range of relevant exercises, case studies and/or simulations</w:t>
            </w:r>
          </w:p>
          <w:p w:rsidR="00000000" w:rsidRPr="003E6C3B" w:rsidP="003E6C3B">
            <w:pPr>
              <w:pStyle w:val="ListBullet"/>
            </w:pPr>
            <w:r w:rsidRPr="003E6C3B">
              <w:t>relevant materials, tools, equipment and personal protective equipment (PPE) currently used in industry</w:t>
            </w:r>
          </w:p>
          <w:p w:rsidR="00000000" w:rsidRPr="003E6C3B" w:rsidP="003E6C3B">
            <w:pPr>
              <w:pStyle w:val="ListBullet"/>
            </w:pPr>
            <w:r w:rsidRPr="003E6C3B">
              <w:t>applicable documentation including workplace procedures, regulations, code</w:t>
            </w:r>
            <w:r w:rsidRPr="003E6C3B">
              <w:t>s of practice and operation manuals.</w:t>
            </w:r>
          </w:p>
          <w:p w:rsidR="00000000" w:rsidRPr="003E6C3B" w:rsidP="003E6C3B">
            <w:pPr>
              <w:pStyle w:val="BodyText"/>
            </w:pPr>
            <w:r w:rsidRPr="003E6C3B">
              <w:t>Driving a vehicle is not part of the assessment of this unit of competency.</w:t>
            </w:r>
          </w:p>
          <w:p w:rsidR="00000000" w:rsidRPr="003E6C3B" w:rsidP="003E6C3B">
            <w:pPr>
              <w:pStyle w:val="BodyText"/>
            </w:pPr>
            <w:r w:rsidRPr="003E6C3B">
              <w:t>Simulators are not suitable for final assessment of this unit of competency.</w:t>
            </w:r>
          </w:p>
        </w:tc>
      </w:tr>
    </w:tbl>
    <w:p w:rsidR="00000000" w:rsidRPr="003E6C3B" w:rsidP="003E6C3B">
      <w:pPr>
        <w:pStyle w:val="NoPaddingFontSize1"/>
      </w:pPr>
    </w:p>
    <w:p w:rsidR="00000000" w:rsidRPr="003E6C3B" w:rsidP="003E6C3B">
      <w:pPr>
        <w:pStyle w:val="AllowPageBreak"/>
      </w:pPr>
    </w:p>
    <w:p w:rsidR="00000000" w:rsidRPr="003E6C3B" w:rsidP="003E6C3B">
      <w:pPr>
        <w:pStyle w:val="Heading1"/>
      </w:pPr>
      <w:bookmarkStart w:id="5" w:name="O_1067193"/>
      <w:bookmarkEnd w:id="5"/>
      <w:r w:rsidRPr="003E6C3B">
        <w:t>Links</w:t>
      </w:r>
    </w:p>
    <w:p w:rsidR="00000000" w:rsidRPr="003E6C3B" w:rsidP="008A0F41">
      <w:pPr>
        <w:pStyle w:val="BodyText"/>
      </w:pPr>
      <w:r w:rsidRPr="003E6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E23A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6C3B" w:rsidP="003E6C3B"/>
    <w:sectPr w:rsidSect="003E6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3B" w:rsidRPr="008A0F41" w:rsidP="008A0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41" w:rsidP="003E6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F41" w:rsidP="003E6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0F41" w:rsidP="003E6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C3B" w:rsidRPr="008A0F41" w:rsidP="008A0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41" w:rsidRPr="002D2AF8" w:rsidP="003E6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TLIF0079 Select a safe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A0F41" w:rsidP="003E6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20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B06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565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C3B"/>
  </w:style>
  <w:style w:type="character" w:customStyle="1" w:styleId="Heading1Char">
    <w:name w:val="Heading 1 Char"/>
    <w:basedOn w:val="DefaultParagraphFont"/>
    <w:link w:val="Heading1"/>
    <w:rsid w:val="003E6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C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C3B"/>
    <w:rPr>
      <w:b/>
      <w:spacing w:val="0"/>
    </w:rPr>
  </w:style>
  <w:style w:type="paragraph" w:styleId="ListBullet2">
    <w:name w:val="List Bullet 2"/>
    <w:basedOn w:val="List2"/>
    <w:rsid w:val="003E6C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6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C3B"/>
    <w:rPr>
      <w:i/>
    </w:rPr>
  </w:style>
  <w:style w:type="paragraph" w:styleId="Caption">
    <w:name w:val="caption"/>
    <w:basedOn w:val="BodyText"/>
    <w:next w:val="Normal"/>
    <w:qFormat/>
    <w:rsid w:val="003E6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C3B"/>
  </w:style>
  <w:style w:type="paragraph" w:styleId="TableofFigures">
    <w:name w:val="table of figures"/>
    <w:basedOn w:val="Normal"/>
    <w:next w:val="Normal"/>
    <w:semiHidden/>
    <w:rsid w:val="003E6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C3B"/>
    <w:rPr>
      <w:rFonts w:ascii="Wingdings" w:hAnsi="Wingdings"/>
    </w:rPr>
  </w:style>
  <w:style w:type="paragraph" w:customStyle="1" w:styleId="TableHeading">
    <w:name w:val="Table Heading"/>
    <w:basedOn w:val="HeadingBase"/>
    <w:rsid w:val="003E6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C3B"/>
    <w:rPr>
      <w:color w:val="0033CC"/>
      <w:u w:val="none"/>
    </w:rPr>
  </w:style>
  <w:style w:type="paragraph" w:customStyle="1" w:styleId="BodyTextRight">
    <w:name w:val="Body Text Right"/>
    <w:basedOn w:val="BodyText"/>
    <w:rsid w:val="003E6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C3B"/>
    <w:rPr>
      <w:sz w:val="32"/>
    </w:rPr>
  </w:style>
  <w:style w:type="paragraph" w:customStyle="1" w:styleId="HeadingProcedure">
    <w:name w:val="Heading Procedure"/>
    <w:basedOn w:val="HeadingBase"/>
    <w:next w:val="Normal"/>
    <w:rsid w:val="003E6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C3B"/>
    <w:pPr>
      <w:spacing w:before="60" w:after="60"/>
    </w:pPr>
  </w:style>
  <w:style w:type="paragraph" w:styleId="ListContinue">
    <w:name w:val="List Continue"/>
    <w:basedOn w:val="List"/>
    <w:rsid w:val="003E6C3B"/>
    <w:pPr>
      <w:ind w:firstLine="0"/>
    </w:pPr>
  </w:style>
  <w:style w:type="paragraph" w:customStyle="1" w:styleId="ListNote">
    <w:name w:val="List Note"/>
    <w:basedOn w:val="List"/>
    <w:rsid w:val="003E6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C3B"/>
    <w:rPr>
      <w:rFonts w:ascii="Courier New" w:hAnsi="Courier New"/>
    </w:rPr>
  </w:style>
  <w:style w:type="paragraph" w:customStyle="1" w:styleId="NoteBullet">
    <w:name w:val="Note Bullet"/>
    <w:basedOn w:val="Note"/>
    <w:rsid w:val="003E6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C3B"/>
    <w:rPr>
      <w:b/>
      <w:smallCaps/>
    </w:rPr>
  </w:style>
  <w:style w:type="paragraph" w:customStyle="1" w:styleId="TableListNumber">
    <w:name w:val="Table List Number"/>
    <w:basedOn w:val="ListNumber"/>
    <w:rsid w:val="003E6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C3B"/>
    <w:pPr>
      <w:numPr>
        <w:numId w:val="9"/>
      </w:numPr>
    </w:pPr>
  </w:style>
  <w:style w:type="paragraph" w:customStyle="1" w:styleId="ListAlpha2">
    <w:name w:val="List Alpha 2"/>
    <w:basedOn w:val="List2"/>
    <w:rsid w:val="003E6C3B"/>
    <w:pPr>
      <w:numPr>
        <w:numId w:val="8"/>
      </w:numPr>
    </w:pPr>
  </w:style>
  <w:style w:type="paragraph" w:styleId="List2">
    <w:name w:val="List 2"/>
    <w:basedOn w:val="BodyText"/>
    <w:rsid w:val="003E6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C3B"/>
    <w:pPr>
      <w:numPr>
        <w:numId w:val="4"/>
      </w:numPr>
    </w:pPr>
  </w:style>
  <w:style w:type="paragraph" w:styleId="ListContinue2">
    <w:name w:val="List Continue 2"/>
    <w:basedOn w:val="List2"/>
    <w:rsid w:val="003E6C3B"/>
    <w:pPr>
      <w:ind w:firstLine="0"/>
    </w:pPr>
  </w:style>
  <w:style w:type="paragraph" w:styleId="ListContinue3">
    <w:name w:val="List Continue 3"/>
    <w:basedOn w:val="List3"/>
    <w:rsid w:val="003E6C3B"/>
    <w:pPr>
      <w:ind w:left="1021" w:firstLine="0"/>
    </w:pPr>
  </w:style>
  <w:style w:type="paragraph" w:styleId="ListContinue4">
    <w:name w:val="List Continue 4"/>
    <w:basedOn w:val="List4"/>
    <w:rsid w:val="003E6C3B"/>
    <w:pPr>
      <w:ind w:firstLine="0"/>
    </w:pPr>
  </w:style>
  <w:style w:type="paragraph" w:styleId="ListContinue5">
    <w:name w:val="List Continue 5"/>
    <w:basedOn w:val="List5"/>
    <w:rsid w:val="003E6C3B"/>
    <w:pPr>
      <w:ind w:firstLine="0"/>
    </w:pPr>
  </w:style>
  <w:style w:type="paragraph" w:styleId="ListNumber3">
    <w:name w:val="List Number 3"/>
    <w:basedOn w:val="List3"/>
    <w:rsid w:val="003E6C3B"/>
    <w:pPr>
      <w:numPr>
        <w:numId w:val="5"/>
      </w:numPr>
    </w:pPr>
  </w:style>
  <w:style w:type="paragraph" w:styleId="ListNumber4">
    <w:name w:val="List Number 4"/>
    <w:basedOn w:val="List4"/>
    <w:rsid w:val="003E6C3B"/>
    <w:pPr>
      <w:numPr>
        <w:numId w:val="6"/>
      </w:numPr>
    </w:pPr>
  </w:style>
  <w:style w:type="paragraph" w:styleId="ListNumber5">
    <w:name w:val="List Number 5"/>
    <w:basedOn w:val="List5"/>
    <w:rsid w:val="003E6C3B"/>
    <w:pPr>
      <w:numPr>
        <w:numId w:val="7"/>
      </w:numPr>
    </w:pPr>
  </w:style>
  <w:style w:type="paragraph" w:styleId="BlockText">
    <w:name w:val="Block Text"/>
    <w:basedOn w:val="Normal"/>
    <w:rsid w:val="003E6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C3B"/>
    <w:rPr>
      <w:sz w:val="16"/>
      <w:vertAlign w:val="superscript"/>
    </w:rPr>
  </w:style>
  <w:style w:type="character" w:customStyle="1" w:styleId="Symbols">
    <w:name w:val="Symbols"/>
    <w:basedOn w:val="DefaultParagraphFont"/>
    <w:rsid w:val="003E6C3B"/>
    <w:rPr>
      <w:rFonts w:ascii="Symbol" w:hAnsi="Symbol"/>
    </w:rPr>
  </w:style>
  <w:style w:type="character" w:customStyle="1" w:styleId="MenuOptions">
    <w:name w:val="Menu Options"/>
    <w:basedOn w:val="DefaultParagraphFont"/>
    <w:rsid w:val="003E6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C3B"/>
    <w:rPr>
      <w:b/>
    </w:rPr>
  </w:style>
  <w:style w:type="character" w:customStyle="1" w:styleId="Underlined">
    <w:name w:val="Underlined"/>
    <w:basedOn w:val="DefaultParagraphFont"/>
    <w:rsid w:val="003E6C3B"/>
    <w:rPr>
      <w:u w:val="single"/>
    </w:rPr>
  </w:style>
  <w:style w:type="paragraph" w:customStyle="1" w:styleId="TableBodyTextRight">
    <w:name w:val="Table Body Text Right"/>
    <w:basedOn w:val="TableBodyText"/>
    <w:rsid w:val="003E6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C3B"/>
    <w:rPr>
      <w:sz w:val="18"/>
    </w:rPr>
  </w:style>
  <w:style w:type="paragraph" w:customStyle="1" w:styleId="BodySmallRight">
    <w:name w:val="Body Small Right"/>
    <w:basedOn w:val="BodyTextRight"/>
    <w:rsid w:val="003E6C3B"/>
    <w:rPr>
      <w:sz w:val="18"/>
      <w:szCs w:val="18"/>
    </w:rPr>
  </w:style>
  <w:style w:type="paragraph" w:customStyle="1" w:styleId="MarginEdition">
    <w:name w:val="Margin Edition"/>
    <w:basedOn w:val="MarginNote"/>
    <w:rsid w:val="003E6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C3B"/>
    <w:rPr>
      <w:sz w:val="2"/>
      <w:szCs w:val="2"/>
    </w:rPr>
  </w:style>
  <w:style w:type="character" w:customStyle="1" w:styleId="Small">
    <w:name w:val="Small"/>
    <w:basedOn w:val="DefaultParagraphFont"/>
    <w:rsid w:val="003E6C3B"/>
    <w:rPr>
      <w:sz w:val="16"/>
    </w:rPr>
  </w:style>
  <w:style w:type="paragraph" w:customStyle="1" w:styleId="WideTable">
    <w:name w:val="Wide Table"/>
    <w:basedOn w:val="Normal"/>
    <w:rsid w:val="003E6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C3B"/>
  </w:style>
  <w:style w:type="paragraph" w:styleId="Quote">
    <w:name w:val="Quote"/>
    <w:basedOn w:val="Heading1"/>
    <w:link w:val="QuoteChar"/>
    <w:qFormat/>
    <w:rsid w:val="003E6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C3B"/>
    <w:pPr>
      <w:pageBreakBefore/>
    </w:pPr>
  </w:style>
  <w:style w:type="paragraph" w:customStyle="1" w:styleId="Border">
    <w:name w:val="Border"/>
    <w:basedOn w:val="Normal"/>
    <w:qFormat/>
    <w:rsid w:val="003E6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C3B"/>
    <w:rPr>
      <w:u w:val="single"/>
    </w:rPr>
  </w:style>
  <w:style w:type="character" w:customStyle="1" w:styleId="BoldandItalics">
    <w:name w:val="Bold and Italics"/>
    <w:qFormat/>
    <w:rsid w:val="003E6C3B"/>
    <w:rPr>
      <w:b/>
      <w:i/>
      <w:u w:val="none"/>
    </w:rPr>
  </w:style>
  <w:style w:type="paragraph" w:styleId="BalloonText">
    <w:name w:val="Balloon Text"/>
    <w:basedOn w:val="Normal"/>
    <w:link w:val="BalloonTextChar"/>
    <w:rsid w:val="003E6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C3B"/>
    <w:pPr>
      <w:spacing w:before="0" w:after="0"/>
    </w:pPr>
  </w:style>
  <w:style w:type="paragraph" w:customStyle="1" w:styleId="BodyTextBold">
    <w:name w:val="Body Text Bold"/>
    <w:basedOn w:val="BodyText"/>
    <w:qFormat/>
    <w:rsid w:val="003E6C3B"/>
    <w:rPr>
      <w:b/>
    </w:rPr>
  </w:style>
  <w:style w:type="character" w:styleId="Hyperlink">
    <w:name w:val="Hyperlink"/>
    <w:basedOn w:val="DefaultParagraphFont"/>
    <w:uiPriority w:val="99"/>
    <w:unhideWhenUsed/>
    <w:rsid w:val="008A0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3004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TLIF0079 Select a safe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