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1D78" w:rsidP="000F1D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TLIF0054 Respond to notifiable rail safety occurrences</w:t>
      </w:r>
      <w:r>
        <w:fldChar w:fldCharType="end"/>
      </w:r>
    </w:p>
    <w:p w:rsidR="000F1D78" w:rsidP="000F1D78">
      <w:pPr>
        <w:pStyle w:val="Version"/>
        <w:sectPr w:rsidSect="00E372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7299" w:rsidP="00E37299">
      <w:pPr>
        <w:pStyle w:val="SuperHeading"/>
      </w:pPr>
      <w:r w:rsidRPr="00E37299">
        <w:t>TLIF0054 Respond to notifiable rail safety occurrences</w:t>
      </w:r>
    </w:p>
    <w:p w:rsidR="00000000" w:rsidRPr="00E37299" w:rsidP="00E37299">
      <w:pPr>
        <w:pStyle w:val="Heading1"/>
      </w:pPr>
      <w:bookmarkStart w:id="1" w:name="O_1240552"/>
      <w:bookmarkEnd w:id="1"/>
      <w:r w:rsidRPr="00E3729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 w:rsidP="00E37299">
            <w:pPr>
              <w:pStyle w:val="BodyText"/>
            </w:pPr>
            <w:r w:rsidRPr="00E37299">
              <w:rPr>
                <w:rStyle w:val="SpecialBold"/>
              </w:rPr>
              <w:t>Release 1</w:t>
            </w:r>
            <w:r w:rsidRPr="00E37299">
              <w:t>. This is the first release of this unit of competency in the TLI Transport and Logistics Training Package.</w:t>
            </w:r>
          </w:p>
        </w:tc>
      </w:tr>
    </w:tbl>
    <w:p w:rsidR="00000000" w:rsidRPr="00E37299" w:rsidP="00E37299">
      <w:pPr>
        <w:pStyle w:val="NoPaddingFontSize1"/>
      </w:pPr>
    </w:p>
    <w:p w:rsidR="00000000" w:rsidRPr="00E37299" w:rsidP="00E37299">
      <w:pPr>
        <w:pStyle w:val="AllowPageBreak"/>
      </w:pPr>
    </w:p>
    <w:p w:rsidR="00000000" w:rsidRPr="00E37299" w:rsidP="00E37299">
      <w:pPr>
        <w:pStyle w:val="Heading1"/>
      </w:pPr>
      <w:bookmarkStart w:id="2" w:name="O_1240553"/>
      <w:bookmarkEnd w:id="2"/>
      <w:r w:rsidRPr="00E3729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 w:rsidP="00E37299">
            <w:pPr>
              <w:pStyle w:val="BodyText"/>
            </w:pPr>
            <w:r w:rsidRPr="00E37299">
              <w:t xml:space="preserve">This unit involves the skills and knowledge required to respond to </w:t>
            </w:r>
            <w:r w:rsidRPr="00E37299">
              <w:t>notifiable rail safety occurrences and prescribed incidents in accordance with legislation, regulatory requirements and rail network workplace procedures.</w:t>
            </w:r>
          </w:p>
          <w:p w:rsidR="00000000" w:rsidRPr="00E37299" w:rsidP="00E37299">
            <w:pPr>
              <w:pStyle w:val="BodyText"/>
            </w:pPr>
            <w:r w:rsidRPr="00E37299">
              <w:t>It includes identifying notifiable occurrences, prescribed incidents, completing and submitting docum</w:t>
            </w:r>
            <w:r w:rsidRPr="00E37299">
              <w:t xml:space="preserve">entation, conducting internal investigations and assisting with external investigations, in accordance with rail network workplace procedures and relevant safeworking requirements. </w:t>
            </w:r>
          </w:p>
          <w:p w:rsidR="00000000" w:rsidRPr="00E37299" w:rsidP="00E37299">
            <w:pPr>
              <w:pStyle w:val="BodyText"/>
            </w:pPr>
            <w:r w:rsidRPr="00E37299">
              <w:t xml:space="preserve">This unit applies to notifiable rail safety occurrences as they relate to </w:t>
            </w:r>
            <w:r w:rsidRPr="00E37299">
              <w:t>Rail Safety National Law (RSNL) and regulations.</w:t>
            </w:r>
          </w:p>
          <w:p w:rsidR="00000000" w:rsidRPr="00E37299" w:rsidP="00E37299">
            <w:pPr>
              <w:pStyle w:val="BodyText"/>
            </w:pPr>
            <w:r w:rsidRPr="00E37299">
              <w:t>No licensing, legislative or certification requirements apply to this unit at the time of publication.</w:t>
            </w:r>
          </w:p>
        </w:tc>
      </w:tr>
    </w:tbl>
    <w:p w:rsidR="00000000" w:rsidRPr="00E37299" w:rsidP="00E37299">
      <w:pPr>
        <w:pStyle w:val="NoPaddingFontSize1"/>
      </w:pPr>
    </w:p>
    <w:p w:rsidR="00000000" w:rsidRPr="00E37299" w:rsidP="00E37299">
      <w:pPr>
        <w:pStyle w:val="AllowPageBreak"/>
      </w:pPr>
    </w:p>
    <w:p w:rsidR="00000000" w:rsidRPr="00E37299" w:rsidP="00E37299">
      <w:pPr>
        <w:pStyle w:val="Heading1"/>
      </w:pPr>
      <w:bookmarkStart w:id="3" w:name="O_1240554"/>
      <w:bookmarkEnd w:id="3"/>
      <w:r w:rsidRPr="00E3729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 w:rsidP="00E37299">
            <w:pPr>
              <w:pStyle w:val="BodyText"/>
            </w:pPr>
            <w:r w:rsidRPr="00E37299">
              <w:t>Not applicable.</w:t>
            </w:r>
          </w:p>
        </w:tc>
      </w:tr>
    </w:tbl>
    <w:p w:rsidR="00000000" w:rsidRPr="00E37299" w:rsidP="00E37299">
      <w:pPr>
        <w:pStyle w:val="NoPaddingFontSize1"/>
      </w:pPr>
    </w:p>
    <w:p w:rsidR="00000000" w:rsidRPr="00E37299" w:rsidP="00E37299">
      <w:pPr>
        <w:pStyle w:val="AllowPageBreak"/>
      </w:pPr>
    </w:p>
    <w:p w:rsidR="00000000" w:rsidRPr="00E37299" w:rsidP="00E37299">
      <w:pPr>
        <w:pStyle w:val="Heading1"/>
      </w:pPr>
      <w:bookmarkStart w:id="4" w:name="O_1240555"/>
      <w:bookmarkEnd w:id="4"/>
      <w:r w:rsidRPr="00E3729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 w:rsidP="00E37299">
            <w:pPr>
              <w:pStyle w:val="BodyText"/>
            </w:pPr>
            <w:r w:rsidRPr="00E37299">
              <w:t>F – Safety</w:t>
            </w:r>
            <w:r w:rsidRPr="00E37299">
              <w:t xml:space="preserve"> Management</w:t>
            </w:r>
          </w:p>
        </w:tc>
      </w:tr>
    </w:tbl>
    <w:p w:rsidR="00000000" w:rsidRPr="00E37299" w:rsidP="00E37299">
      <w:pPr>
        <w:pStyle w:val="NoPaddingFontSize1"/>
      </w:pPr>
    </w:p>
    <w:p w:rsidR="00000000" w:rsidRPr="00E37299" w:rsidP="00E37299">
      <w:pPr>
        <w:pStyle w:val="AllowPageBreak"/>
      </w:pPr>
    </w:p>
    <w:p w:rsidR="00000000" w:rsidRPr="00E37299" w:rsidP="00E37299">
      <w:pPr>
        <w:pStyle w:val="Heading1"/>
      </w:pPr>
      <w:bookmarkStart w:id="5" w:name="O_1240556"/>
      <w:bookmarkEnd w:id="5"/>
      <w:r w:rsidRPr="00E3729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 w:rsidP="00E37299">
            <w:pPr>
              <w:pStyle w:val="BodyText"/>
            </w:pPr>
            <w:r w:rsidRPr="00E37299">
              <w:t>Rail sector.</w:t>
            </w:r>
          </w:p>
        </w:tc>
      </w:tr>
    </w:tbl>
    <w:p w:rsidR="00000000" w:rsidRPr="00E37299" w:rsidP="00E37299">
      <w:pPr>
        <w:pStyle w:val="NoPaddingFontSize1"/>
      </w:pPr>
    </w:p>
    <w:p w:rsidR="00000000" w:rsidRPr="00E37299" w:rsidP="00E37299">
      <w:pPr>
        <w:pStyle w:val="AllowPageBreak"/>
      </w:pPr>
    </w:p>
    <w:p w:rsidR="00000000" w:rsidRPr="00E37299" w:rsidP="00E37299">
      <w:pPr>
        <w:pStyle w:val="Heading1"/>
      </w:pPr>
      <w:bookmarkStart w:id="6" w:name="O_1240557"/>
      <w:bookmarkEnd w:id="6"/>
      <w:r w:rsidRPr="00E3729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73"/>
        <w:gridCol w:w="3344"/>
        <w:gridCol w:w="1294"/>
        <w:gridCol w:w="4187"/>
      </w:tblGrid>
      <w:tr w:rsidTr="00E37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t>Elements describe the essential outcomes.</w:t>
            </w:r>
          </w:p>
        </w:tc>
        <w:tc>
          <w:tcPr>
            <w:tcW w:w="54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t>Performance criteria describe the performance needed to demonstrate achievement of the element.</w:t>
            </w:r>
          </w:p>
        </w:tc>
      </w:tr>
      <w:tr w:rsidTr="00E37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 w:rsidP="00E37299">
            <w:pPr>
              <w:pStyle w:val="BodyText"/>
            </w:pPr>
            <w:r w:rsidRPr="00E37299">
              <w:rPr>
                <w:rStyle w:val="SpecialBold"/>
              </w:rPr>
              <w:t>1</w:t>
            </w: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 w:rsidP="00E37299">
            <w:pPr>
              <w:pStyle w:val="BodyText"/>
            </w:pPr>
            <w:r w:rsidRPr="00E37299">
              <w:rPr>
                <w:rStyle w:val="SpecialBold"/>
              </w:rPr>
              <w:t>Identify legislative and regulatory requirements for reporting notifiable occurrences</w:t>
            </w:r>
            <w:r w:rsidRPr="00E37299">
              <w:t xml:space="preserve"> </w:t>
            </w:r>
            <w:r w:rsidRPr="00E37299">
              <w:rPr>
                <w:rStyle w:val="SpecialBold"/>
              </w:rPr>
              <w:t>and prescribed incidents relation to the RSNL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rPr>
                <w:rStyle w:val="SpecialBold"/>
              </w:rPr>
              <w:t>1.1</w:t>
            </w: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t>Legislative and regulatory requirements for reporting notifiable rail safety occurrences and prescribed incidents are identified and accessed</w:t>
            </w:r>
          </w:p>
        </w:tc>
      </w:tr>
      <w:tr w:rsidTr="00E37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>
            <w:pPr>
              <w:pStyle w:val="BodyText"/>
              <w:keepLines w:val="0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rPr>
                <w:rStyle w:val="SpecialBold"/>
              </w:rPr>
              <w:t>1.2</w:t>
            </w: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t>Individual state/territory requirements for reporting notifiable rail safety occurrence or prescribed incid</w:t>
            </w:r>
            <w:r w:rsidRPr="00E37299">
              <w:t>ents are accessed and interpreted</w:t>
            </w:r>
          </w:p>
        </w:tc>
      </w:tr>
      <w:tr w:rsidTr="00E37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>
            <w:pPr>
              <w:pStyle w:val="BodyText"/>
              <w:keepLines w:val="0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rPr>
                <w:rStyle w:val="SpecialBold"/>
              </w:rPr>
              <w:t>1.3</w:t>
            </w: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t>Applicable state/territory documentation required for reporting notifiable rail safety occurrences and prescribed incidents are accessed and interpreted</w:t>
            </w:r>
          </w:p>
        </w:tc>
      </w:tr>
      <w:tr w:rsidTr="00E37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>
            <w:pPr>
              <w:pStyle w:val="BodyText"/>
              <w:keepLines w:val="0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rPr>
                <w:rStyle w:val="SpecialBold"/>
              </w:rPr>
              <w:t>1.4</w:t>
            </w: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t>Legislative and state/territory requirements for report</w:t>
            </w:r>
            <w:r w:rsidRPr="00E37299">
              <w:t>ing notifiable rail safety occurrences and prescribed incidents are communicated to relevant personnel</w:t>
            </w:r>
          </w:p>
        </w:tc>
      </w:tr>
      <w:tr w:rsidTr="00E37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 w:rsidP="00E37299">
            <w:pPr>
              <w:pStyle w:val="BodyText"/>
            </w:pPr>
            <w:r w:rsidRPr="00E37299">
              <w:rPr>
                <w:rStyle w:val="SpecialBold"/>
              </w:rPr>
              <w:t>2</w:t>
            </w: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 w:rsidP="00E37299">
            <w:pPr>
              <w:pStyle w:val="BodyText"/>
            </w:pPr>
            <w:r w:rsidRPr="00E37299">
              <w:rPr>
                <w:rStyle w:val="SpecialBold"/>
              </w:rPr>
              <w:t>Complete and submit documentation in relation to regulatory requirements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rPr>
                <w:rStyle w:val="SpecialBold"/>
              </w:rPr>
              <w:t>2.1</w:t>
            </w: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t>Notifiable rail safety occurrence or prescribed incident is checked to de</w:t>
            </w:r>
            <w:r w:rsidRPr="00E37299">
              <w:t>termine appropriate manner and timing for reporting occurrence</w:t>
            </w:r>
          </w:p>
        </w:tc>
      </w:tr>
      <w:tr w:rsidTr="00E37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>
            <w:pPr>
              <w:pStyle w:val="BodyText"/>
              <w:keepLines w:val="0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rPr>
                <w:rStyle w:val="SpecialBold"/>
              </w:rPr>
              <w:t>2.2</w:t>
            </w: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t>Reporting is undertaken in accordance with regulatory requirements</w:t>
            </w:r>
          </w:p>
        </w:tc>
      </w:tr>
      <w:tr w:rsidTr="00E37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>
            <w:pPr>
              <w:pStyle w:val="BodyText"/>
              <w:keepLines w:val="0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rPr>
                <w:rStyle w:val="SpecialBold"/>
              </w:rPr>
              <w:t>2.3</w:t>
            </w: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t>Consultation with the regulator is undertaken to determine drug and alcohol testing requirements</w:t>
            </w:r>
          </w:p>
        </w:tc>
      </w:tr>
      <w:tr w:rsidTr="00E37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>
            <w:pPr>
              <w:pStyle w:val="BodyText"/>
              <w:keepLines w:val="0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rPr>
                <w:rStyle w:val="SpecialBold"/>
              </w:rPr>
              <w:t>2.4</w:t>
            </w: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t>Facilitating drug and alcohol testing is supported, where required, in accordance with legislative requirements or rail transport operator</w:t>
            </w:r>
            <w:r>
              <w:t>’</w:t>
            </w:r>
            <w:r w:rsidRPr="00E37299">
              <w:t>s drug and alcohol management program</w:t>
            </w:r>
          </w:p>
        </w:tc>
      </w:tr>
      <w:tr w:rsidTr="00E37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 w:rsidP="00E37299">
            <w:pPr>
              <w:pStyle w:val="BodyText"/>
            </w:pPr>
            <w:r w:rsidRPr="00E37299">
              <w:rPr>
                <w:rStyle w:val="SpecialBold"/>
              </w:rPr>
              <w:t>3</w:t>
            </w: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 w:rsidP="00E37299">
            <w:pPr>
              <w:pStyle w:val="BodyText"/>
            </w:pPr>
            <w:r w:rsidRPr="00E37299">
              <w:rPr>
                <w:rStyle w:val="SpecialBold"/>
              </w:rPr>
              <w:t>Contribute to investigating a notifiable occurrence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rPr>
                <w:rStyle w:val="SpecialBold"/>
              </w:rPr>
              <w:t>3.1</w:t>
            </w: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t>Contribution is made</w:t>
            </w:r>
            <w:r w:rsidRPr="00E37299">
              <w:t xml:space="preserve"> to investigating a notifiable rail safety occurrence in accordance with rail network safety management system requirements</w:t>
            </w:r>
          </w:p>
        </w:tc>
      </w:tr>
      <w:tr w:rsidTr="00E37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>
            <w:pPr>
              <w:pStyle w:val="BodyText"/>
              <w:keepLines w:val="0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rPr>
                <w:rStyle w:val="SpecialBold"/>
              </w:rPr>
              <w:t>3.2</w:t>
            </w: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t>Evidence is collected and managed in accordance with rail network workplace procedures and regulatory requirements</w:t>
            </w:r>
          </w:p>
        </w:tc>
      </w:tr>
      <w:tr w:rsidTr="00E37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>
            <w:pPr>
              <w:pStyle w:val="BodyText"/>
              <w:keepLines w:val="0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rPr>
                <w:rStyle w:val="SpecialBold"/>
              </w:rPr>
              <w:t>3.3</w:t>
            </w: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t>Organisational information is managed appropriately to ensure consistency between multiple agency investigations</w:t>
            </w:r>
          </w:p>
        </w:tc>
      </w:tr>
      <w:tr w:rsidTr="00E37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>
            <w:pPr>
              <w:pStyle w:val="BodyText"/>
              <w:keepLines w:val="0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rPr>
                <w:rStyle w:val="SpecialBold"/>
              </w:rPr>
              <w:t>3.4</w:t>
            </w: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t xml:space="preserve">Confidentiality is maintained in accordance with rail network and </w:t>
            </w:r>
            <w:r w:rsidRPr="00E37299">
              <w:t>regulatory requirements</w:t>
            </w:r>
          </w:p>
        </w:tc>
      </w:tr>
      <w:tr w:rsidTr="00E37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>
            <w:pPr>
              <w:pStyle w:val="BodyText"/>
              <w:keepLines w:val="0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99">
            <w:pPr>
              <w:pStyle w:val="BodyText"/>
              <w:rPr>
                <w:lang w:val="en-NZ"/>
              </w:rPr>
            </w:pPr>
            <w:r w:rsidRPr="00E37299">
              <w:rPr>
                <w:rStyle w:val="SpecialBold"/>
              </w:rPr>
              <w:t>3.5</w:t>
            </w: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 w:rsidP="00E37299">
            <w:pPr>
              <w:pStyle w:val="BodyText"/>
            </w:pPr>
            <w:r w:rsidRPr="00E37299">
              <w:t>Occurrence reports, including recommend</w:t>
            </w:r>
            <w:r w:rsidRPr="00E37299">
              <w:t>ations and/or lessons learnt, are submitted to relevant personnel in accordance with regulatory requirements and workplace procedures</w:t>
            </w:r>
          </w:p>
        </w:tc>
      </w:tr>
    </w:tbl>
    <w:p w:rsidR="00000000" w:rsidRPr="00E37299" w:rsidP="00E37299">
      <w:pPr>
        <w:pStyle w:val="NoPaddingFontSize1"/>
      </w:pPr>
    </w:p>
    <w:p w:rsidR="00000000" w:rsidRPr="00E37299" w:rsidP="00E37299">
      <w:pPr>
        <w:pStyle w:val="AllowPageBreak"/>
      </w:pPr>
    </w:p>
    <w:p w:rsidR="00000000" w:rsidRPr="00E37299" w:rsidP="00E37299">
      <w:pPr>
        <w:pStyle w:val="Heading1"/>
      </w:pPr>
      <w:bookmarkStart w:id="7" w:name="O_1240558"/>
      <w:bookmarkEnd w:id="7"/>
      <w:r w:rsidRPr="00E3729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 w:rsidP="00E37299">
            <w:pPr>
              <w:pStyle w:val="BodyText"/>
            </w:pPr>
            <w:r w:rsidRPr="00E37299">
              <w:t>Foundation skills essential to performance are explicit in the performance criteria</w:t>
            </w:r>
            <w:r w:rsidRPr="00E37299">
              <w:t xml:space="preserve"> of this unit of competency.</w:t>
            </w:r>
          </w:p>
        </w:tc>
      </w:tr>
    </w:tbl>
    <w:p w:rsidR="00000000" w:rsidRPr="00E37299" w:rsidP="00E37299">
      <w:pPr>
        <w:pStyle w:val="NoPaddingFontSize1"/>
      </w:pPr>
    </w:p>
    <w:p w:rsidR="00000000" w:rsidRPr="00E37299" w:rsidP="00E37299">
      <w:pPr>
        <w:pStyle w:val="AllowPageBreak"/>
      </w:pPr>
    </w:p>
    <w:p w:rsidR="00000000" w:rsidRPr="00E37299" w:rsidP="00E37299">
      <w:pPr>
        <w:pStyle w:val="Heading1"/>
      </w:pPr>
      <w:bookmarkStart w:id="8" w:name="O_1240559"/>
      <w:bookmarkEnd w:id="8"/>
      <w:r w:rsidRPr="00E3729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 w:rsidP="00E37299">
            <w:pPr>
              <w:pStyle w:val="BodyText"/>
            </w:pPr>
            <w:r w:rsidRPr="00E37299">
              <w:t>Range is restricted to essential operating conditions and any other variables essential to the work environment.</w:t>
            </w:r>
          </w:p>
          <w:p w:rsidR="00000000" w:rsidRPr="00E37299" w:rsidP="00E37299">
            <w:pPr>
              <w:pStyle w:val="BodyText"/>
            </w:pPr>
            <w:r w:rsidRPr="00E37299">
              <w:t>Non-essential conditions can be found in the TLI Transport and Logistics Training Package Companion Volume Implementation Guide.</w:t>
            </w:r>
          </w:p>
        </w:tc>
      </w:tr>
    </w:tbl>
    <w:p w:rsidR="00000000" w:rsidRPr="00E37299" w:rsidP="00E37299">
      <w:pPr>
        <w:pStyle w:val="NoPaddingFontSize1"/>
      </w:pPr>
    </w:p>
    <w:p w:rsidR="00000000" w:rsidRPr="00E37299" w:rsidP="00E37299">
      <w:pPr>
        <w:pStyle w:val="AllowPageBreak"/>
      </w:pPr>
    </w:p>
    <w:p w:rsidR="00000000" w:rsidRPr="00E37299" w:rsidP="00E37299">
      <w:pPr>
        <w:pStyle w:val="Heading1"/>
      </w:pPr>
      <w:bookmarkStart w:id="9" w:name="O_1240560"/>
      <w:bookmarkEnd w:id="9"/>
      <w:r w:rsidRPr="00E3729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99" w:rsidP="00E37299">
            <w:pPr>
              <w:pStyle w:val="BodyText"/>
            </w:pPr>
            <w:r w:rsidRPr="00E37299">
              <w:t>This unit replaces but is not equivalent to TLIF4107 Respond to notifiable rail s</w:t>
            </w:r>
            <w:r w:rsidRPr="00E37299">
              <w:t>afety occurrences.</w:t>
            </w:r>
          </w:p>
        </w:tc>
      </w:tr>
    </w:tbl>
    <w:p w:rsidR="00000000" w:rsidRPr="00E37299" w:rsidP="00E37299">
      <w:pPr>
        <w:pStyle w:val="NoPaddingFontSize1"/>
      </w:pPr>
    </w:p>
    <w:p w:rsidR="00000000" w:rsidRPr="00E37299" w:rsidP="00E37299">
      <w:pPr>
        <w:pStyle w:val="AllowPageBreak"/>
      </w:pPr>
    </w:p>
    <w:p w:rsidR="00000000" w:rsidRPr="00E37299" w:rsidP="00E37299">
      <w:pPr>
        <w:pStyle w:val="Heading1"/>
      </w:pPr>
      <w:bookmarkStart w:id="10" w:name="O_1240567"/>
      <w:bookmarkEnd w:id="10"/>
      <w:r w:rsidRPr="00E37299">
        <w:t>Links</w:t>
      </w:r>
    </w:p>
    <w:p w:rsidR="00000000" w:rsidRPr="00E37299" w:rsidP="000F1D78">
      <w:pPr>
        <w:pStyle w:val="BodyText"/>
      </w:pPr>
      <w:r w:rsidRPr="00E372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4131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37299" w:rsidP="00E37299"/>
    <w:sectPr w:rsidSect="00E372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99" w:rsidRPr="000F1D78" w:rsidP="000F1D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D78" w:rsidP="00E372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1D78" w:rsidP="00E372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F1D78" w:rsidP="00E372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D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299" w:rsidRPr="000F1D78" w:rsidP="000F1D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D78" w:rsidRPr="002D2AF8" w:rsidP="00E372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TLIF0054 Respond to notifiable rail safety occurrences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F1D78" w:rsidP="00E372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2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2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2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2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2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2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2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2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2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2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2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299"/>
  </w:style>
  <w:style w:type="character" w:customStyle="1" w:styleId="Heading1Char">
    <w:name w:val="Heading 1 Char"/>
    <w:basedOn w:val="DefaultParagraphFont"/>
    <w:link w:val="Heading1"/>
    <w:rsid w:val="00E372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2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29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37299"/>
    <w:rPr>
      <w:b/>
      <w:spacing w:val="0"/>
    </w:rPr>
  </w:style>
  <w:style w:type="paragraph" w:customStyle="1" w:styleId="SuperHeading">
    <w:name w:val="SuperHeading"/>
    <w:basedOn w:val="Normal"/>
    <w:rsid w:val="00E372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2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372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2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2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2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2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2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2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2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2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2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2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2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2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2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2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2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2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2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72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72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72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72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2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2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72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72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2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2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2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2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2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2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2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2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299"/>
    <w:rPr>
      <w:i/>
    </w:rPr>
  </w:style>
  <w:style w:type="paragraph" w:styleId="Caption">
    <w:name w:val="caption"/>
    <w:basedOn w:val="BodyText"/>
    <w:next w:val="Normal"/>
    <w:qFormat/>
    <w:rsid w:val="00E372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2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2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299"/>
  </w:style>
  <w:style w:type="paragraph" w:styleId="TableofFigures">
    <w:name w:val="table of figures"/>
    <w:basedOn w:val="Normal"/>
    <w:next w:val="Normal"/>
    <w:semiHidden/>
    <w:rsid w:val="00E372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2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37299"/>
    <w:rPr>
      <w:rFonts w:ascii="Wingdings" w:hAnsi="Wingdings"/>
    </w:rPr>
  </w:style>
  <w:style w:type="paragraph" w:customStyle="1" w:styleId="TableHeading">
    <w:name w:val="Table Heading"/>
    <w:basedOn w:val="HeadingBase"/>
    <w:rsid w:val="00E372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299"/>
    <w:rPr>
      <w:color w:val="0033CC"/>
      <w:u w:val="none"/>
    </w:rPr>
  </w:style>
  <w:style w:type="paragraph" w:customStyle="1" w:styleId="BodyTextRight">
    <w:name w:val="Body Text Right"/>
    <w:basedOn w:val="BodyText"/>
    <w:rsid w:val="00E372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2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2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2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2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2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299"/>
    <w:rPr>
      <w:sz w:val="32"/>
    </w:rPr>
  </w:style>
  <w:style w:type="paragraph" w:customStyle="1" w:styleId="HeadingProcedure">
    <w:name w:val="Heading Procedure"/>
    <w:basedOn w:val="HeadingBase"/>
    <w:next w:val="Normal"/>
    <w:rsid w:val="00E372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299"/>
    <w:pPr>
      <w:spacing w:before="60" w:after="60"/>
    </w:pPr>
  </w:style>
  <w:style w:type="paragraph" w:styleId="ListContinue">
    <w:name w:val="List Continue"/>
    <w:basedOn w:val="List"/>
    <w:rsid w:val="00E37299"/>
    <w:pPr>
      <w:ind w:firstLine="0"/>
    </w:pPr>
  </w:style>
  <w:style w:type="paragraph" w:customStyle="1" w:styleId="ListNote">
    <w:name w:val="List Note"/>
    <w:basedOn w:val="List"/>
    <w:rsid w:val="00E372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2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2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299"/>
    <w:rPr>
      <w:rFonts w:ascii="Courier New" w:hAnsi="Courier New"/>
    </w:rPr>
  </w:style>
  <w:style w:type="paragraph" w:customStyle="1" w:styleId="NoteBullet">
    <w:name w:val="Note Bullet"/>
    <w:basedOn w:val="Note"/>
    <w:rsid w:val="00E372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2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2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2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2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372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2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299"/>
    <w:rPr>
      <w:b/>
      <w:smallCaps/>
    </w:rPr>
  </w:style>
  <w:style w:type="paragraph" w:customStyle="1" w:styleId="TableListNumber">
    <w:name w:val="Table List Number"/>
    <w:basedOn w:val="ListNumber"/>
    <w:rsid w:val="00E372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2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299"/>
    <w:pPr>
      <w:numPr>
        <w:numId w:val="7"/>
      </w:numPr>
    </w:pPr>
  </w:style>
  <w:style w:type="paragraph" w:customStyle="1" w:styleId="ListAlpha2">
    <w:name w:val="List Alpha 2"/>
    <w:basedOn w:val="List2"/>
    <w:rsid w:val="00E37299"/>
    <w:pPr>
      <w:numPr>
        <w:numId w:val="6"/>
      </w:numPr>
    </w:pPr>
  </w:style>
  <w:style w:type="paragraph" w:styleId="List2">
    <w:name w:val="List 2"/>
    <w:basedOn w:val="BodyText"/>
    <w:rsid w:val="00E372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2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2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2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2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2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37299"/>
    <w:pPr>
      <w:numPr>
        <w:numId w:val="2"/>
      </w:numPr>
    </w:pPr>
  </w:style>
  <w:style w:type="paragraph" w:styleId="ListContinue2">
    <w:name w:val="List Continue 2"/>
    <w:basedOn w:val="List2"/>
    <w:rsid w:val="00E37299"/>
    <w:pPr>
      <w:ind w:firstLine="0"/>
    </w:pPr>
  </w:style>
  <w:style w:type="paragraph" w:styleId="ListContinue3">
    <w:name w:val="List Continue 3"/>
    <w:basedOn w:val="List3"/>
    <w:rsid w:val="00E37299"/>
    <w:pPr>
      <w:ind w:left="1021" w:firstLine="0"/>
    </w:pPr>
  </w:style>
  <w:style w:type="paragraph" w:styleId="ListContinue4">
    <w:name w:val="List Continue 4"/>
    <w:basedOn w:val="List4"/>
    <w:rsid w:val="00E37299"/>
    <w:pPr>
      <w:ind w:firstLine="0"/>
    </w:pPr>
  </w:style>
  <w:style w:type="paragraph" w:styleId="ListContinue5">
    <w:name w:val="List Continue 5"/>
    <w:basedOn w:val="List5"/>
    <w:rsid w:val="00E37299"/>
    <w:pPr>
      <w:ind w:firstLine="0"/>
    </w:pPr>
  </w:style>
  <w:style w:type="paragraph" w:styleId="ListNumber3">
    <w:name w:val="List Number 3"/>
    <w:basedOn w:val="List3"/>
    <w:rsid w:val="00E37299"/>
    <w:pPr>
      <w:numPr>
        <w:numId w:val="3"/>
      </w:numPr>
    </w:pPr>
  </w:style>
  <w:style w:type="paragraph" w:styleId="ListNumber4">
    <w:name w:val="List Number 4"/>
    <w:basedOn w:val="List4"/>
    <w:rsid w:val="00E37299"/>
    <w:pPr>
      <w:numPr>
        <w:numId w:val="4"/>
      </w:numPr>
    </w:pPr>
  </w:style>
  <w:style w:type="paragraph" w:styleId="ListNumber5">
    <w:name w:val="List Number 5"/>
    <w:basedOn w:val="List5"/>
    <w:rsid w:val="00E37299"/>
    <w:pPr>
      <w:numPr>
        <w:numId w:val="5"/>
      </w:numPr>
    </w:pPr>
  </w:style>
  <w:style w:type="paragraph" w:styleId="BlockText">
    <w:name w:val="Block Text"/>
    <w:basedOn w:val="Normal"/>
    <w:rsid w:val="00E372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2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299"/>
    <w:rPr>
      <w:sz w:val="16"/>
      <w:vertAlign w:val="superscript"/>
    </w:rPr>
  </w:style>
  <w:style w:type="character" w:customStyle="1" w:styleId="Symbols">
    <w:name w:val="Symbols"/>
    <w:basedOn w:val="DefaultParagraphFont"/>
    <w:rsid w:val="00E37299"/>
    <w:rPr>
      <w:rFonts w:ascii="Symbol" w:hAnsi="Symbol"/>
    </w:rPr>
  </w:style>
  <w:style w:type="character" w:customStyle="1" w:styleId="MenuOptions">
    <w:name w:val="Menu Options"/>
    <w:basedOn w:val="DefaultParagraphFont"/>
    <w:rsid w:val="00E372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299"/>
    <w:rPr>
      <w:b/>
    </w:rPr>
  </w:style>
  <w:style w:type="character" w:customStyle="1" w:styleId="Underlined">
    <w:name w:val="Underlined"/>
    <w:basedOn w:val="DefaultParagraphFont"/>
    <w:rsid w:val="00E37299"/>
    <w:rPr>
      <w:u w:val="single"/>
    </w:rPr>
  </w:style>
  <w:style w:type="paragraph" w:customStyle="1" w:styleId="TableBodyTextRight">
    <w:name w:val="Table Body Text Right"/>
    <w:basedOn w:val="TableBodyText"/>
    <w:rsid w:val="00E372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299"/>
    <w:rPr>
      <w:sz w:val="18"/>
    </w:rPr>
  </w:style>
  <w:style w:type="paragraph" w:customStyle="1" w:styleId="BodySmallRight">
    <w:name w:val="Body Small Right"/>
    <w:basedOn w:val="BodyTextRight"/>
    <w:rsid w:val="00E37299"/>
    <w:rPr>
      <w:sz w:val="18"/>
      <w:szCs w:val="18"/>
    </w:rPr>
  </w:style>
  <w:style w:type="paragraph" w:customStyle="1" w:styleId="MarginEdition">
    <w:name w:val="Margin Edition"/>
    <w:basedOn w:val="MarginNote"/>
    <w:rsid w:val="00E372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299"/>
    <w:rPr>
      <w:sz w:val="2"/>
      <w:szCs w:val="2"/>
    </w:rPr>
  </w:style>
  <w:style w:type="character" w:customStyle="1" w:styleId="Small">
    <w:name w:val="Small"/>
    <w:basedOn w:val="DefaultParagraphFont"/>
    <w:rsid w:val="00E37299"/>
    <w:rPr>
      <w:sz w:val="16"/>
    </w:rPr>
  </w:style>
  <w:style w:type="paragraph" w:customStyle="1" w:styleId="WideTable">
    <w:name w:val="Wide Table"/>
    <w:basedOn w:val="Normal"/>
    <w:rsid w:val="00E372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299"/>
  </w:style>
  <w:style w:type="paragraph" w:styleId="Quote">
    <w:name w:val="Quote"/>
    <w:basedOn w:val="Heading1"/>
    <w:link w:val="QuoteChar"/>
    <w:qFormat/>
    <w:rsid w:val="00E372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2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299"/>
    <w:pPr>
      <w:pageBreakBefore/>
    </w:pPr>
  </w:style>
  <w:style w:type="paragraph" w:customStyle="1" w:styleId="Border">
    <w:name w:val="Border"/>
    <w:basedOn w:val="Normal"/>
    <w:qFormat/>
    <w:rsid w:val="00E372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2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2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2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2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2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2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2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2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299"/>
    <w:rPr>
      <w:u w:val="single"/>
    </w:rPr>
  </w:style>
  <w:style w:type="character" w:customStyle="1" w:styleId="BoldandItalics">
    <w:name w:val="Bold and Italics"/>
    <w:qFormat/>
    <w:rsid w:val="00E37299"/>
    <w:rPr>
      <w:b/>
      <w:i/>
      <w:u w:val="none"/>
    </w:rPr>
  </w:style>
  <w:style w:type="paragraph" w:styleId="BalloonText">
    <w:name w:val="Balloon Text"/>
    <w:basedOn w:val="Normal"/>
    <w:link w:val="BalloonTextChar"/>
    <w:rsid w:val="00E372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2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2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2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2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2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299"/>
    <w:pPr>
      <w:spacing w:before="0" w:after="0"/>
    </w:pPr>
  </w:style>
  <w:style w:type="paragraph" w:customStyle="1" w:styleId="BodyTextBold">
    <w:name w:val="Body Text Bold"/>
    <w:basedOn w:val="BodyText"/>
    <w:qFormat/>
    <w:rsid w:val="00E37299"/>
    <w:rPr>
      <w:b/>
    </w:rPr>
  </w:style>
  <w:style w:type="character" w:styleId="Hyperlink">
    <w:name w:val="Hyperlink"/>
    <w:basedOn w:val="DefaultParagraphFont"/>
    <w:uiPriority w:val="99"/>
    <w:unhideWhenUsed/>
    <w:rsid w:val="000F1D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532</Words>
  <Characters>3662</Characters>
  <Application>Microsoft Office Word</Application>
  <DocSecurity>0</DocSecurity>
  <Lines>166</Lines>
  <Paragraphs>72</Paragraphs>
  <ScaleCrop>false</ScaleCrop>
  <Company>Author-it Software Corporation Ltd.</Company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TLIF0054 Respond to notifiable rail safety occurrences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2024-07-12T07:39:00Z</dcterms:created>
  <dcterms:modified xsi:type="dcterms:W3CDTF">2024-07-12T07:39:00Z</dcterms:modified>
</cp:coreProperties>
</file>