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448" w:rsidP="00C90448">
      <w:pPr>
        <w:pStyle w:val="Title"/>
      </w:pPr>
      <w:r>
        <w:fldChar w:fldCharType="begin"/>
      </w:r>
      <w:r>
        <w:instrText xml:space="preserve"> TITLE   \* MERGEFORMAT </w:instrText>
      </w:r>
      <w:r>
        <w:fldChar w:fldCharType="separate"/>
      </w:r>
      <w:r>
        <w:t>TLIF0048 Manage rail safety compliance</w:t>
      </w:r>
      <w:r>
        <w:fldChar w:fldCharType="end"/>
      </w:r>
    </w:p>
    <w:p w:rsidR="00C90448" w:rsidP="00C90448">
      <w:pPr>
        <w:pStyle w:val="Version"/>
        <w:sectPr w:rsidSect="00057C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C5F" w:rsidP="00057C5F">
      <w:pPr>
        <w:pStyle w:val="SuperHeading"/>
      </w:pPr>
      <w:r w:rsidRPr="00057C5F">
        <w:t>TLIF0048 Manage rail safety compliance</w:t>
      </w:r>
    </w:p>
    <w:p w:rsidR="00000000" w:rsidRPr="00057C5F" w:rsidP="00057C5F">
      <w:pPr>
        <w:pStyle w:val="Heading1"/>
      </w:pPr>
      <w:bookmarkStart w:id="1" w:name="O_1240533"/>
      <w:bookmarkEnd w:id="1"/>
      <w:r w:rsidRPr="00057C5F">
        <w:t>Modification History</w:t>
      </w:r>
    </w:p>
    <w:tbl>
      <w:tblPr>
        <w:tblW w:w="9497" w:type="dxa"/>
        <w:tblLayout w:type="fixed"/>
        <w:tblCellMar>
          <w:left w:w="62" w:type="dxa"/>
          <w:right w:w="62" w:type="dxa"/>
        </w:tblCellMar>
        <w:tblLook w:val="0000"/>
      </w:tblPr>
      <w:tblGrid>
        <w:gridCol w:w="9497"/>
      </w:tblGrid>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rPr>
                <w:rStyle w:val="SpecialBold"/>
              </w:rPr>
              <w:t>Release 1</w:t>
            </w:r>
            <w:r w:rsidRPr="00057C5F">
              <w:t>. This is the first release of this unit of competency in the TLI Transport and Logistics Training Package.</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2" w:name="O_1240534"/>
      <w:bookmarkEnd w:id="2"/>
      <w:r w:rsidRPr="00057C5F">
        <w:t>Application</w:t>
      </w:r>
    </w:p>
    <w:tbl>
      <w:tblPr>
        <w:tblW w:w="9497" w:type="dxa"/>
        <w:tblLayout w:type="fixed"/>
        <w:tblCellMar>
          <w:left w:w="62" w:type="dxa"/>
          <w:right w:w="62" w:type="dxa"/>
        </w:tblCellMar>
        <w:tblLook w:val="0000"/>
      </w:tblPr>
      <w:tblGrid>
        <w:gridCol w:w="9497"/>
      </w:tblGrid>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t>This unit involves the skills and knowledge required to manage rail safety compliance</w:t>
            </w:r>
            <w:r w:rsidRPr="00057C5F">
              <w:t xml:space="preserve"> requirements.</w:t>
            </w:r>
          </w:p>
          <w:p w:rsidR="00000000" w:rsidRPr="00057C5F" w:rsidP="00057C5F">
            <w:pPr>
              <w:pStyle w:val="BodyText"/>
            </w:pPr>
            <w:r w:rsidRPr="00057C5F">
              <w:t>It includes planning, establishing, maintaining, monitoring and reviewing compliance, consultation and audit procedures, feedback procedures and auditing systems.</w:t>
            </w:r>
          </w:p>
          <w:p w:rsidR="00000000" w:rsidRPr="00057C5F" w:rsidP="00057C5F">
            <w:pPr>
              <w:pStyle w:val="BodyText"/>
            </w:pPr>
            <w:r w:rsidRPr="00057C5F">
              <w:t xml:space="preserve">This unit is intended for workers involved in managing rail safety compliance </w:t>
            </w:r>
            <w:r w:rsidRPr="00057C5F">
              <w:t xml:space="preserve">functions within a rail organisation. </w:t>
            </w:r>
          </w:p>
          <w:p w:rsidR="00000000" w:rsidRPr="00057C5F" w:rsidP="00057C5F">
            <w:pPr>
              <w:pStyle w:val="BodyText"/>
            </w:pPr>
            <w:r w:rsidRPr="00057C5F">
              <w:t>Typically, these workers must be able to work independently and as part of a team under direct and/or indirect supervision, perform detailed analyses, use discretion and judgement, and take responsibility for the qual</w:t>
            </w:r>
            <w:r w:rsidRPr="00057C5F">
              <w:t>ity of their outputs.</w:t>
            </w:r>
          </w:p>
          <w:p w:rsidR="00000000" w:rsidRPr="00057C5F" w:rsidP="00057C5F">
            <w:pPr>
              <w:pStyle w:val="BodyText"/>
            </w:pPr>
            <w:r w:rsidRPr="00057C5F">
              <w:t>No licensing, legislative or certification requirements apply to this unit at the time of publication.</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3" w:name="O_1240535"/>
      <w:bookmarkEnd w:id="3"/>
      <w:r w:rsidRPr="00057C5F">
        <w:t>Pre-requisite Unit</w:t>
      </w:r>
    </w:p>
    <w:tbl>
      <w:tblPr>
        <w:tblW w:w="9497" w:type="dxa"/>
        <w:tblLayout w:type="fixed"/>
        <w:tblCellMar>
          <w:left w:w="62" w:type="dxa"/>
          <w:right w:w="62" w:type="dxa"/>
        </w:tblCellMar>
        <w:tblLook w:val="0000"/>
      </w:tblPr>
      <w:tblGrid>
        <w:gridCol w:w="9497"/>
      </w:tblGrid>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t>Not applicable.</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4" w:name="O_1240536"/>
      <w:bookmarkEnd w:id="4"/>
      <w:r w:rsidRPr="00057C5F">
        <w:t>Competency Field</w:t>
      </w:r>
    </w:p>
    <w:tbl>
      <w:tblPr>
        <w:tblW w:w="9497" w:type="dxa"/>
        <w:tblLayout w:type="fixed"/>
        <w:tblCellMar>
          <w:left w:w="62" w:type="dxa"/>
          <w:right w:w="62" w:type="dxa"/>
        </w:tblCellMar>
        <w:tblLook w:val="0000"/>
      </w:tblPr>
      <w:tblGrid>
        <w:gridCol w:w="9497"/>
      </w:tblGrid>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t>F – Safety Management</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5" w:name="O_1240537"/>
      <w:bookmarkEnd w:id="5"/>
      <w:r w:rsidRPr="00057C5F">
        <w:t>Unit Sector</w:t>
      </w:r>
    </w:p>
    <w:tbl>
      <w:tblPr>
        <w:tblW w:w="9497" w:type="dxa"/>
        <w:tblLayout w:type="fixed"/>
        <w:tblCellMar>
          <w:left w:w="62" w:type="dxa"/>
          <w:right w:w="62" w:type="dxa"/>
        </w:tblCellMar>
        <w:tblLook w:val="0000"/>
      </w:tblPr>
      <w:tblGrid>
        <w:gridCol w:w="9497"/>
      </w:tblGrid>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t>Rail sector.</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6" w:name="O_1240538"/>
      <w:bookmarkEnd w:id="6"/>
      <w:r w:rsidRPr="00057C5F">
        <w:t>Elements and Performance Criteria</w:t>
      </w:r>
    </w:p>
    <w:tbl>
      <w:tblPr>
        <w:tblW w:w="9497" w:type="dxa"/>
        <w:tblLayout w:type="fixed"/>
        <w:tblCellMar>
          <w:left w:w="62" w:type="dxa"/>
          <w:right w:w="62" w:type="dxa"/>
        </w:tblCellMar>
        <w:tblLook w:val="0000"/>
      </w:tblPr>
      <w:tblGrid>
        <w:gridCol w:w="713"/>
        <w:gridCol w:w="3247"/>
        <w:gridCol w:w="1295"/>
        <w:gridCol w:w="4242"/>
      </w:tblGrid>
      <w:tr w:rsidTr="00057C5F">
        <w:tblPrEx>
          <w:tblW w:w="9497" w:type="dxa"/>
          <w:tblLayout w:type="fixed"/>
          <w:tblCellMar>
            <w:left w:w="62" w:type="dxa"/>
            <w:right w:w="62" w:type="dxa"/>
          </w:tblCellMar>
          <w:tblLook w:val="0000"/>
        </w:tblPrEx>
        <w:tc>
          <w:tcPr>
            <w:tcW w:w="3960" w:type="dxa"/>
            <w:gridSpan w:val="2"/>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Elements describe the essential outcomes.</w:t>
            </w:r>
          </w:p>
        </w:tc>
        <w:tc>
          <w:tcPr>
            <w:tcW w:w="5537" w:type="dxa"/>
            <w:gridSpan w:val="2"/>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Performance criteria describe the performance needed to demonstrate achievement of the element.</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rPr>
                <w:rStyle w:val="SpecialBold"/>
              </w:rPr>
              <w:t>1</w:t>
            </w:r>
          </w:p>
        </w:tc>
        <w:tc>
          <w:tcPr>
            <w:tcW w:w="324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rPr>
                <w:rStyle w:val="SpecialBold"/>
              </w:rPr>
              <w:t>Assist with planning and establishing a rail safety compliance framework</w:t>
            </w: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1.1</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Assistance with conducting a system gap analysis against rail safety regulatory requirements is demonstrated</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1.2</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Rail safety compliance documentation relevant to organisational</w:t>
            </w:r>
            <w:r w:rsidRPr="00057C5F">
              <w:t xml:space="preserve"> activities is accessed, interpreted and applied</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1.3</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Assistance with developing policies and procedures to support compliance with regulatory requirements in consultation with stakeholders is demonstrated</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1.4</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Rail safety compliance system framework g</w:t>
            </w:r>
            <w:r w:rsidRPr="00057C5F">
              <w:t>ap analysis results are identified and assistance with appropriate actions are demonstrated in accordance with organisational and operations requirements</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1.5</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Assistance with scoping proposed rail safety compliance requirements and resources is demonstrated in consultation with relevant personnel</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1.6</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Development of a responsibility assignment matrix or chart is supported to ensure rail safety compliance is in</w:t>
            </w:r>
            <w:r w:rsidRPr="00057C5F">
              <w:t>tegrated into job descriptions and relevant workplace procedures</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1.7</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Rail safety management plan, incorporating the requirements of the safety management system, is supported in its development</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rPr>
                <w:rStyle w:val="SpecialBold"/>
              </w:rPr>
              <w:t>2</w:t>
            </w:r>
          </w:p>
        </w:tc>
        <w:tc>
          <w:tcPr>
            <w:tcW w:w="324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rPr>
                <w:rStyle w:val="SpecialBold"/>
              </w:rPr>
              <w:t>Establish consultation and audit procedures</w:t>
            </w: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2.1</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Relevant</w:t>
            </w:r>
            <w:r w:rsidRPr="00057C5F">
              <w:t xml:space="preserve"> stakeholders are consulted on rail safety compliance and rail safety management plan requirements to update monitoring and auditing systems</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2.2</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Resource allocation for implementing compliance requirements is identified in accordance with organisational</w:t>
            </w:r>
            <w:r w:rsidRPr="00057C5F">
              <w:t xml:space="preserve"> requirements</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2.3</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Measures are established in collaboration with relevant stakeholders to ensure compliance with organisational requirements and auditing systems</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2.4</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 xml:space="preserve">Information relating to rail safety management plans are disseminated to </w:t>
            </w:r>
            <w:r w:rsidRPr="00057C5F">
              <w:t>relevant personnel in accordance with workplace procedures</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rPr>
                <w:rStyle w:val="SpecialBold"/>
              </w:rPr>
              <w:t>3</w:t>
            </w:r>
          </w:p>
        </w:tc>
        <w:tc>
          <w:tcPr>
            <w:tcW w:w="324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rPr>
                <w:rStyle w:val="SpecialBold"/>
              </w:rPr>
              <w:t>Implement, maintain and review a rail safety compliance system</w:t>
            </w: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3.1</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Safety management system and rail safety management plans are implemented in accordance with organisational and regulatory requirements</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3.2</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System and rail safety management plan effectiveness is assessed against workplace and regulatory requirements</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3.3</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Non-compliances are identified, reported and recorded in accordance with workplace policies, procedures and legislative requirements</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3.4</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Recommendations on improvements to rail safety management plans are determined and submitted to relevant personnel in accordance with workplace procedures and/or regulatory requirements</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3.5</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Rail safety management system is audited in accordance with wor</w:t>
            </w:r>
            <w:r w:rsidRPr="00057C5F">
              <w:t>kplace procedures</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3.6</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Rail safety management plan activities are monitored in accordance with workplace procedures and regulatory requirements</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3.7</w:t>
            </w:r>
          </w:p>
        </w:tc>
        <w:tc>
          <w:tcPr>
            <w:tcW w:w="4242"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Audit procedures are reviewed regularly to identify necessary changes and opportunities for continual i</w:t>
            </w:r>
            <w:r w:rsidRPr="00057C5F">
              <w:t>mprovement</w:t>
            </w:r>
          </w:p>
        </w:tc>
      </w:tr>
      <w:tr w:rsidTr="00057C5F">
        <w:tblPrEx>
          <w:tblW w:w="9497" w:type="dxa"/>
          <w:tblLayout w:type="fixed"/>
          <w:tblCellMar>
            <w:left w:w="62" w:type="dxa"/>
            <w:right w:w="62" w:type="dxa"/>
          </w:tblCellMar>
          <w:tblLook w:val="0000"/>
        </w:tblPrEx>
        <w:tc>
          <w:tcPr>
            <w:tcW w:w="7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7" w:type="dxa"/>
            <w:tcBorders>
              <w:top w:val="nil"/>
              <w:left w:val="nil"/>
              <w:bottom w:val="nil"/>
              <w:right w:val="nil"/>
            </w:tcBorders>
            <w:tcMar>
              <w:top w:w="0" w:type="dxa"/>
              <w:left w:w="62" w:type="dxa"/>
              <w:bottom w:w="0" w:type="dxa"/>
              <w:right w:w="62" w:type="dxa"/>
            </w:tcMar>
          </w:tcPr>
          <w:p w:rsidR="00000000" w:rsidRPr="00057C5F">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rPr>
                <w:rStyle w:val="SpecialBold"/>
              </w:rPr>
              <w:t>3.8</w:t>
            </w:r>
          </w:p>
        </w:tc>
        <w:tc>
          <w:tcPr>
            <w:tcW w:w="4242"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t>Records are maintained in accordance with workplace procedures and regulatory requirements</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7" w:name="O_1240539"/>
      <w:bookmarkEnd w:id="7"/>
      <w:r w:rsidRPr="00057C5F">
        <w:t>Foundation Skills</w:t>
      </w:r>
    </w:p>
    <w:tbl>
      <w:tblPr>
        <w:tblW w:w="9497" w:type="dxa"/>
        <w:tblLayout w:type="fixed"/>
        <w:tblCellMar>
          <w:left w:w="62" w:type="dxa"/>
          <w:right w:w="62" w:type="dxa"/>
        </w:tblCellMar>
        <w:tblLook w:val="0000"/>
      </w:tblPr>
      <w:tblGrid>
        <w:gridCol w:w="9497"/>
      </w:tblGrid>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t>Foundation skills essential to performance are explicit in the performance criteria of this unit of competency.</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8" w:name="O_1240540"/>
      <w:bookmarkEnd w:id="8"/>
      <w:r w:rsidRPr="00057C5F">
        <w:t>Range of Conditions</w:t>
      </w:r>
    </w:p>
    <w:tbl>
      <w:tblPr>
        <w:tblW w:w="9497" w:type="dxa"/>
        <w:tblLayout w:type="fixed"/>
        <w:tblCellMar>
          <w:left w:w="62" w:type="dxa"/>
          <w:right w:w="62" w:type="dxa"/>
        </w:tblCellMar>
        <w:tblLook w:val="0000"/>
      </w:tblPr>
      <w:tblGrid>
        <w:gridCol w:w="9497"/>
      </w:tblGrid>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t>Range is restricted to essential operating conditions and any other variables essential to the work env</w:t>
            </w:r>
            <w:r w:rsidRPr="00057C5F">
              <w:t>ironment.</w:t>
            </w:r>
          </w:p>
          <w:p w:rsidR="00000000" w:rsidRPr="00057C5F" w:rsidP="00057C5F">
            <w:pPr>
              <w:pStyle w:val="BodyText"/>
            </w:pPr>
            <w:r w:rsidRPr="00057C5F">
              <w:t>Non-essential conditions can be found in the TLI Transport and Logistics Training Package Companion Volume Implementation Guide.</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9" w:name="O_1240541"/>
      <w:bookmarkEnd w:id="9"/>
      <w:r w:rsidRPr="00057C5F">
        <w:t>Unit Mapping Information</w:t>
      </w:r>
    </w:p>
    <w:tbl>
      <w:tblPr>
        <w:tblW w:w="9497" w:type="dxa"/>
        <w:tblLayout w:type="fixed"/>
        <w:tblCellMar>
          <w:left w:w="62" w:type="dxa"/>
          <w:right w:w="62" w:type="dxa"/>
        </w:tblCellMar>
        <w:tblLook w:val="0000"/>
      </w:tblPr>
      <w:tblGrid>
        <w:gridCol w:w="9497"/>
      </w:tblGrid>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t>This unit replaces but is not</w:t>
            </w:r>
            <w:r w:rsidRPr="00057C5F">
              <w:t xml:space="preserve"> equivalent to TLIF4105 Manage rail safety compliance.</w:t>
            </w:r>
          </w:p>
          <w:p w:rsidR="00000000" w:rsidRPr="00057C5F" w:rsidP="00057C5F">
            <w:pPr>
              <w:pStyle w:val="BodyText"/>
            </w:pPr>
            <w:r w:rsidRPr="00057C5F">
              <w:t>This unit replaces but is not equivalent to TLIF4102 Implement and maintain safety management plans.</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10" w:name="O_1240548"/>
      <w:bookmarkEnd w:id="10"/>
      <w:r w:rsidRPr="00057C5F">
        <w:t>Links</w:t>
      </w:r>
    </w:p>
    <w:p w:rsidR="00000000" w:rsidRPr="00057C5F" w:rsidP="00C90448">
      <w:pPr>
        <w:pStyle w:val="BodyText"/>
      </w:pPr>
      <w:r w:rsidRPr="00057C5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1323F">
        <w:rPr>
          <w:rStyle w:val="Hyperlink"/>
        </w:rPr>
        <w:t>https://vetnet.gov.au/Pages/TrainingDocs.aspx?q=df441c6e-213d-43e3-874c-0b3f7036d851</w:t>
      </w:r>
      <w:r>
        <w:fldChar w:fldCharType="end"/>
      </w:r>
    </w:p>
    <w:p w:rsidR="00000000" w:rsidRPr="00057C5F" w:rsidP="00C90448">
      <w:pPr>
        <w:pStyle w:val="BodyText"/>
        <w:sectPr w:rsidSect="00057C5F">
          <w:headerReference w:type="default" r:id="rId10"/>
          <w:footerReference w:type="default" r:id="rId11"/>
          <w:pgSz w:w="11908" w:h="16833"/>
          <w:pgMar w:top="1702" w:right="1418" w:bottom="1702" w:left="1418" w:header="992" w:footer="992" w:gutter="0"/>
          <w:cols w:space="720"/>
          <w:noEndnote/>
          <w:docGrid w:linePitch="299"/>
        </w:sectPr>
      </w:pPr>
    </w:p>
    <w:p w:rsidR="00000000" w:rsidRPr="00057C5F" w:rsidP="00057C5F">
      <w:pPr>
        <w:pStyle w:val="SuperHeading"/>
      </w:pPr>
      <w:r w:rsidRPr="00057C5F">
        <w:t>Assessment Requirements for TLIF0048 Manage rail safety compliance</w:t>
      </w:r>
    </w:p>
    <w:p w:rsidR="00000000" w:rsidRPr="00057C5F" w:rsidP="00057C5F">
      <w:pPr>
        <w:pStyle w:val="Heading1"/>
      </w:pPr>
      <w:bookmarkStart w:id="11" w:name="O_1240543"/>
      <w:bookmarkEnd w:id="11"/>
      <w:r w:rsidRPr="00057C5F">
        <w:t>Modification History</w:t>
      </w:r>
    </w:p>
    <w:tbl>
      <w:tblPr>
        <w:tblW w:w="9497" w:type="dxa"/>
        <w:tblLayout w:type="fixed"/>
        <w:tblCellMar>
          <w:left w:w="62" w:type="dxa"/>
          <w:right w:w="62" w:type="dxa"/>
        </w:tblCellMar>
        <w:tblLook w:val="0000"/>
      </w:tblPr>
      <w:tblGrid>
        <w:gridCol w:w="9497"/>
      </w:tblGrid>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rPr>
                <w:rStyle w:val="SpecialBold"/>
              </w:rPr>
              <w:t>Release 1</w:t>
            </w:r>
            <w:r w:rsidRPr="00057C5F">
              <w:t>. This is the first r</w:t>
            </w:r>
            <w:r w:rsidRPr="00057C5F">
              <w:t>elease of this unit of competency in the TLI Transport and Logistics Training Package.</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12" w:name="O_1240544"/>
      <w:bookmarkEnd w:id="12"/>
      <w:r w:rsidRPr="00057C5F">
        <w:t>Performance Evidence</w:t>
      </w:r>
    </w:p>
    <w:tbl>
      <w:tblPr>
        <w:tblW w:w="9497" w:type="dxa"/>
        <w:tblLayout w:type="fixed"/>
        <w:tblCellMar>
          <w:left w:w="62" w:type="dxa"/>
          <w:right w:w="62" w:type="dxa"/>
        </w:tblCellMar>
        <w:tblLook w:val="0000"/>
      </w:tblPr>
      <w:tblGrid>
        <w:gridCol w:w="9497"/>
      </w:tblGrid>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Evidence required to demonstrate competence in this unit must be relevant to and satisfy all of the requirements of the elements and performance criteria on at least one occasion and include:</w:t>
            </w:r>
          </w:p>
        </w:tc>
      </w:tr>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C5F" w:rsidP="00057C5F">
            <w:pPr>
              <w:pStyle w:val="ListBullet"/>
            </w:pPr>
            <w:r w:rsidRPr="00057C5F">
              <w:t xml:space="preserve">adapting to changes in relevant legislation and regulations </w:t>
            </w:r>
          </w:p>
          <w:p w:rsidR="00000000" w:rsidRPr="00057C5F" w:rsidP="00057C5F">
            <w:pPr>
              <w:pStyle w:val="ListBullet"/>
            </w:pPr>
            <w:r w:rsidRPr="00057C5F">
              <w:t>a</w:t>
            </w:r>
            <w:r w:rsidRPr="00057C5F">
              <w:t>pplying relevant legislation and workplace procedures</w:t>
            </w:r>
          </w:p>
          <w:p w:rsidR="00000000" w:rsidRPr="00057C5F" w:rsidP="00057C5F">
            <w:pPr>
              <w:pStyle w:val="ListBullet"/>
            </w:pPr>
            <w:r w:rsidRPr="00057C5F">
              <w:t>auditing a rail safety compliance system</w:t>
            </w:r>
          </w:p>
          <w:p w:rsidR="00000000" w:rsidRPr="00057C5F" w:rsidP="00057C5F">
            <w:pPr>
              <w:pStyle w:val="ListBullet"/>
            </w:pPr>
            <w:r w:rsidRPr="00057C5F">
              <w:t>communicating effectively and working collaboratively with employees and management to implement an organisation’s safety compliance system</w:t>
            </w:r>
          </w:p>
          <w:p w:rsidR="00000000" w:rsidRPr="00057C5F" w:rsidP="00057C5F">
            <w:pPr>
              <w:pStyle w:val="ListBullet"/>
            </w:pPr>
            <w:r w:rsidRPr="00057C5F">
              <w:t>identifying or establ</w:t>
            </w:r>
            <w:r w:rsidRPr="00057C5F">
              <w:t>ishing rail safety compliance within an organisation</w:t>
            </w:r>
          </w:p>
          <w:p w:rsidR="00000000" w:rsidRPr="00057C5F" w:rsidP="00057C5F">
            <w:pPr>
              <w:pStyle w:val="ListBullet"/>
            </w:pPr>
            <w:r w:rsidRPr="00057C5F">
              <w:t>monitoring activities and taking appropriate actions to manage different contexts, risk situations and environments</w:t>
            </w:r>
          </w:p>
          <w:p w:rsidR="00000000" w:rsidRPr="00057C5F" w:rsidP="00057C5F">
            <w:pPr>
              <w:pStyle w:val="ListBullet"/>
            </w:pPr>
            <w:r w:rsidRPr="00057C5F">
              <w:t>organising audits and reviews of an organisation’s safety compliance system</w:t>
            </w:r>
          </w:p>
          <w:p w:rsidR="00000000" w:rsidRPr="00057C5F" w:rsidP="00057C5F">
            <w:pPr>
              <w:pStyle w:val="ListBullet"/>
            </w:pPr>
            <w:r w:rsidRPr="00057C5F">
              <w:t>reading and</w:t>
            </w:r>
            <w:r w:rsidRPr="00057C5F">
              <w:t xml:space="preserve"> interpreting relevant documentation, and applying acquired information/knowledge to management activities</w:t>
            </w:r>
          </w:p>
          <w:p w:rsidR="00000000" w:rsidRPr="00057C5F" w:rsidP="00057C5F">
            <w:pPr>
              <w:pStyle w:val="ListBullet"/>
            </w:pPr>
            <w:r w:rsidRPr="00057C5F">
              <w:t>recognising non-conformance within rail safety requirements and taking appropriate actions to rectify in accordance with workplace policies and proce</w:t>
            </w:r>
            <w:r w:rsidRPr="00057C5F">
              <w:t>dures.</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13" w:name="O_1240545"/>
      <w:bookmarkEnd w:id="13"/>
      <w:r w:rsidRPr="00057C5F">
        <w:t>Knowledge Evidence</w:t>
      </w:r>
    </w:p>
    <w:tbl>
      <w:tblPr>
        <w:tblW w:w="9497" w:type="dxa"/>
        <w:tblLayout w:type="fixed"/>
        <w:tblCellMar>
          <w:left w:w="62" w:type="dxa"/>
          <w:right w:w="62" w:type="dxa"/>
        </w:tblCellMar>
        <w:tblLook w:val="0000"/>
      </w:tblPr>
      <w:tblGrid>
        <w:gridCol w:w="9497"/>
      </w:tblGrid>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7C5F">
            <w:pPr>
              <w:pStyle w:val="BodyText"/>
              <w:rPr>
                <w:lang w:val="en-NZ"/>
              </w:rPr>
            </w:pPr>
            <w:r w:rsidRPr="00057C5F">
              <w:t>Evidence required to demonstrate competence in this unit must be relevant to and satisfy all of the requirements of the elements and performance criteria and include knowledge of:</w:t>
            </w:r>
          </w:p>
        </w:tc>
      </w:tr>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C5F" w:rsidP="00057C5F">
            <w:pPr>
              <w:pStyle w:val="ListBullet"/>
            </w:pPr>
            <w:r w:rsidRPr="00057C5F">
              <w:t>auditing principles and practice</w:t>
            </w:r>
          </w:p>
          <w:p w:rsidR="00000000" w:rsidRPr="00057C5F" w:rsidP="00057C5F">
            <w:pPr>
              <w:pStyle w:val="ListBullet"/>
            </w:pPr>
            <w:r w:rsidRPr="00057C5F">
              <w:t>components of a rail safety compliance system</w:t>
            </w:r>
          </w:p>
          <w:p w:rsidR="00000000" w:rsidRPr="00057C5F" w:rsidP="00057C5F">
            <w:pPr>
              <w:pStyle w:val="ListBullet"/>
            </w:pPr>
            <w:r w:rsidRPr="00057C5F">
              <w:t>legislation, regulations, permit and licence requirements relating to rail safety compliance, including elements contained in Schedule 1 of the Rail Safety National Law and nati</w:t>
            </w:r>
            <w:r w:rsidRPr="00057C5F">
              <w:t>onal regulations</w:t>
            </w:r>
          </w:p>
          <w:p w:rsidR="00000000" w:rsidRPr="00057C5F" w:rsidP="00057C5F">
            <w:pPr>
              <w:pStyle w:val="ListBullet"/>
            </w:pPr>
            <w:r w:rsidRPr="00057C5F">
              <w:t>options and resources for providing training and learning opportunities for employees about rail safety compliance</w:t>
            </w:r>
          </w:p>
          <w:p w:rsidR="00000000" w:rsidRPr="00057C5F" w:rsidP="00057C5F">
            <w:pPr>
              <w:pStyle w:val="ListBullet"/>
            </w:pPr>
            <w:r w:rsidRPr="00057C5F">
              <w:t>procedures and audit tools for:</w:t>
            </w:r>
          </w:p>
          <w:p w:rsidR="00000000" w:rsidRPr="00057C5F" w:rsidP="00057C5F">
            <w:pPr>
              <w:pStyle w:val="ListBullet2"/>
            </w:pPr>
            <w:r w:rsidRPr="00057C5F">
              <w:t>monitoring and reviewing organisation’s rail safety compliance system and related policy an</w:t>
            </w:r>
            <w:r w:rsidRPr="00057C5F">
              <w:t>d workplace procedures</w:t>
            </w:r>
          </w:p>
          <w:p w:rsidR="00000000" w:rsidRPr="00057C5F" w:rsidP="00057C5F">
            <w:pPr>
              <w:pStyle w:val="ListBullet2"/>
            </w:pPr>
            <w:r w:rsidRPr="00057C5F">
              <w:t>reporting audit outcomes</w:t>
            </w:r>
          </w:p>
          <w:p w:rsidR="00000000" w:rsidRPr="00057C5F" w:rsidP="00057C5F">
            <w:pPr>
              <w:pStyle w:val="ListBullet"/>
            </w:pPr>
            <w:r w:rsidRPr="00057C5F">
              <w:t>responsibilities of organisation and employees for implementing a rail safety compliance system</w:t>
            </w:r>
          </w:p>
          <w:p w:rsidR="00000000" w:rsidRPr="00057C5F" w:rsidP="00057C5F">
            <w:pPr>
              <w:pStyle w:val="ListBullet"/>
            </w:pPr>
            <w:r w:rsidRPr="00057C5F">
              <w:t>responsibility assignment matrix or chart</w:t>
            </w:r>
          </w:p>
          <w:p w:rsidR="00000000" w:rsidRPr="00057C5F" w:rsidP="00057C5F">
            <w:pPr>
              <w:pStyle w:val="ListBullet"/>
            </w:pPr>
            <w:r w:rsidRPr="00057C5F">
              <w:t>workplace systems for risk management and risk mitigation.</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14" w:name="O_1240546"/>
      <w:bookmarkEnd w:id="14"/>
      <w:r w:rsidRPr="00057C5F">
        <w:t>Assessment Conditions</w:t>
      </w:r>
    </w:p>
    <w:tbl>
      <w:tblPr>
        <w:tblW w:w="9497" w:type="dxa"/>
        <w:tblLayout w:type="fixed"/>
        <w:tblCellMar>
          <w:left w:w="62" w:type="dxa"/>
          <w:right w:w="62" w:type="dxa"/>
        </w:tblCellMar>
        <w:tblLook w:val="0000"/>
      </w:tblPr>
      <w:tblGrid>
        <w:gridCol w:w="9497"/>
      </w:tblGrid>
      <w:tr w:rsidTr="00057C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C5F" w:rsidP="00057C5F">
            <w:pPr>
              <w:pStyle w:val="BodyText"/>
            </w:pPr>
            <w:r w:rsidRPr="00057C5F">
              <w:t xml:space="preserve">Assessors must hold credentials specified within the Standards for Registered Training Organisations current at the time of assessment. </w:t>
            </w:r>
          </w:p>
          <w:p w:rsidR="00000000" w:rsidRPr="00057C5F" w:rsidP="00057C5F">
            <w:pPr>
              <w:pStyle w:val="BodyText"/>
            </w:pPr>
            <w:r w:rsidRPr="00057C5F">
              <w:t>Assessment must sati</w:t>
            </w:r>
            <w:r w:rsidRPr="00057C5F">
              <w:t>sfy the Principles of Assessment and Rules of Evidence and all regulatory requirements included within the Standards for Registered Training Organisations current at the time of assessment.</w:t>
            </w:r>
          </w:p>
          <w:p w:rsidR="00000000" w:rsidRPr="00057C5F" w:rsidP="00057C5F">
            <w:pPr>
              <w:pStyle w:val="BodyText"/>
            </w:pPr>
            <w:r w:rsidRPr="00057C5F">
              <w:t>Assessment must occur in workplace operational situations where it</w:t>
            </w:r>
            <w:r w:rsidRPr="00057C5F">
              <w:t xml:space="preserve"> is appropriate to do so; where this is not appropriate, assessment must occur in simulated workplace operational situations that replicate rail workplace conditions.</w:t>
            </w:r>
          </w:p>
          <w:p w:rsidR="00000000" w:rsidRPr="00057C5F" w:rsidP="00057C5F">
            <w:pPr>
              <w:pStyle w:val="BodyText"/>
            </w:pPr>
            <w:r w:rsidRPr="00057C5F">
              <w:t>Assessment processes and techniques must be appropriate to the language, literacy and num</w:t>
            </w:r>
            <w:r w:rsidRPr="00057C5F">
              <w:t>eracy requirements of the work being performed and the needs of the candidate.</w:t>
            </w:r>
          </w:p>
          <w:p w:rsidR="00000000" w:rsidRPr="00057C5F" w:rsidP="00057C5F">
            <w:pPr>
              <w:pStyle w:val="BodyText"/>
            </w:pPr>
            <w:r w:rsidRPr="00057C5F">
              <w:t>Resources for assessment must include access to:</w:t>
            </w:r>
          </w:p>
          <w:p w:rsidR="00000000" w:rsidRPr="00057C5F" w:rsidP="00057C5F">
            <w:pPr>
              <w:pStyle w:val="ListBullet"/>
            </w:pPr>
            <w:r w:rsidRPr="00057C5F">
              <w:t>a range of relevant exercises, case studies and/or simulations</w:t>
            </w:r>
          </w:p>
          <w:p w:rsidR="00000000" w:rsidRPr="00057C5F" w:rsidP="00057C5F">
            <w:pPr>
              <w:pStyle w:val="ListBullet"/>
            </w:pPr>
            <w:r w:rsidRPr="00057C5F">
              <w:t>applicable documentation including workplace procedures, regulat</w:t>
            </w:r>
            <w:r w:rsidRPr="00057C5F">
              <w:t>ions, codes of practice and operation manuals.</w:t>
            </w:r>
          </w:p>
        </w:tc>
      </w:tr>
    </w:tbl>
    <w:p w:rsidR="00000000" w:rsidRPr="00057C5F" w:rsidP="00057C5F">
      <w:pPr>
        <w:pStyle w:val="NoPaddingFontSize1"/>
      </w:pPr>
    </w:p>
    <w:p w:rsidR="00000000" w:rsidRPr="00057C5F" w:rsidP="00057C5F">
      <w:pPr>
        <w:pStyle w:val="AllowPageBreak"/>
      </w:pPr>
    </w:p>
    <w:p w:rsidR="00000000" w:rsidRPr="00057C5F" w:rsidP="00057C5F">
      <w:pPr>
        <w:pStyle w:val="Heading1"/>
      </w:pPr>
      <w:bookmarkStart w:id="15" w:name="O_1240549"/>
      <w:bookmarkEnd w:id="15"/>
      <w:r w:rsidRPr="00057C5F">
        <w:t>Links</w:t>
      </w:r>
    </w:p>
    <w:p w:rsidR="00000000" w:rsidRPr="00057C5F" w:rsidP="00C90448">
      <w:pPr>
        <w:pStyle w:val="BodyText"/>
      </w:pPr>
      <w:r w:rsidRPr="00057C5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1323F">
        <w:rPr>
          <w:rStyle w:val="Hyperlink"/>
        </w:rPr>
        <w:t>https://vetnet.gov.au/Pages/TrainingDocs.aspx?q=df441c6e-213d-43e3-874c-0b3f7036d851</w:t>
      </w:r>
      <w:r>
        <w:fldChar w:fldCharType="end"/>
      </w:r>
    </w:p>
    <w:p w:rsidR="00000000" w:rsidRPr="00057C5F" w:rsidP="00057C5F"/>
    <w:sectPr w:rsidSect="00057C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C5F" w:rsidRPr="00C90448" w:rsidP="00C90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448" w:rsidP="00057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0448" w:rsidP="00057C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90448" w:rsidP="00057C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C5F" w:rsidP="00057C5F">
    <w:pPr>
      <w:pStyle w:val="Footer"/>
      <w:framePr w:wrap="around"/>
    </w:pPr>
    <w:r>
      <w:fldChar w:fldCharType="begin"/>
    </w:r>
    <w:r>
      <w:instrText xml:space="preserve"> DOCPROPERTY  Subject  \* MERGEFORMAT </w:instrText>
    </w:r>
    <w:r>
      <w:fldChar w:fldCharType="separate"/>
    </w:r>
    <w:r w:rsidR="00C90448">
      <w:t>Approved</w:t>
    </w:r>
    <w:r w:rsidR="00C90448">
      <w:fldChar w:fldCharType="end"/>
    </w:r>
    <w:r>
      <w:tab/>
      <w:t xml:space="preserve">Page </w:t>
    </w:r>
    <w:r>
      <w:fldChar w:fldCharType="begin"/>
    </w:r>
    <w:r>
      <w:instrText xml:space="preserve"> PAGE  \* Arabic  \* MERGEFORMAT </w:instrText>
    </w:r>
    <w:r>
      <w:fldChar w:fldCharType="separate"/>
    </w:r>
    <w:r w:rsidR="00C904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0448">
      <w:rPr>
        <w:noProof/>
      </w:rPr>
      <w:t>5</w:t>
    </w:r>
    <w:r>
      <w:rPr>
        <w:noProof/>
      </w:rPr>
      <w:fldChar w:fldCharType="end"/>
    </w:r>
  </w:p>
  <w:p w:rsidR="00057C5F" w:rsidP="00057C5F">
    <w:pPr>
      <w:pStyle w:val="Footer"/>
      <w:framePr w:wrap="around"/>
    </w:pPr>
    <w:r>
      <w:t xml:space="preserve">© Commonwealth of Australia, </w:t>
    </w:r>
    <w:r>
      <w:fldChar w:fldCharType="begin"/>
    </w:r>
    <w:r>
      <w:instrText xml:space="preserve"> DATE  \@ "yyyy"  \* MERGEFORMAT </w:instrText>
    </w:r>
    <w:r>
      <w:fldChar w:fldCharType="separate"/>
    </w:r>
    <w:r w:rsidR="00C90448">
      <w:rPr>
        <w:noProof/>
      </w:rPr>
      <w:t>2025</w:t>
    </w:r>
    <w:r>
      <w:fldChar w:fldCharType="end"/>
    </w:r>
    <w:r>
      <w:tab/>
    </w:r>
    <w:r>
      <w:fldChar w:fldCharType="begin"/>
    </w:r>
    <w:r>
      <w:instrText xml:space="preserve"> DOCPROPERTY  Author  \* MERGEFORMAT </w:instrText>
    </w:r>
    <w:r>
      <w:fldChar w:fldCharType="separate"/>
    </w:r>
    <w:r w:rsidR="00C90448">
      <w:t>Industry Skills Australia</w:t>
    </w:r>
    <w:r w:rsidR="00C90448">
      <w:fldChar w:fldCharType="end"/>
    </w:r>
  </w:p>
  <w:p w:rsidR="00057C5F" w:rsidP="00057C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4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C5F" w:rsidRPr="00C90448" w:rsidP="00C904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448" w:rsidRPr="002D2AF8" w:rsidP="00057C5F">
    <w:pPr>
      <w:pStyle w:val="Header"/>
      <w:framePr w:wrap="around"/>
    </w:pPr>
    <w:r>
      <w:fldChar w:fldCharType="begin"/>
    </w:r>
    <w:r>
      <w:instrText xml:space="preserve"> TITLE   \* MERGEFORMAT </w:instrText>
    </w:r>
    <w:r>
      <w:fldChar w:fldCharType="separate"/>
    </w:r>
    <w:r>
      <w:t>TLIF0048 Manage rail safety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0448" w:rsidP="00057C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C5F" w:rsidRPr="002D2AF8" w:rsidP="00057C5F">
    <w:pPr>
      <w:pStyle w:val="Header"/>
      <w:framePr w:wrap="around"/>
    </w:pPr>
    <w:r>
      <w:fldChar w:fldCharType="begin"/>
    </w:r>
    <w:r>
      <w:instrText xml:space="preserve"> TITLE   \* MERGEFORMAT </w:instrText>
    </w:r>
    <w:r>
      <w:fldChar w:fldCharType="separate"/>
    </w:r>
    <w:r w:rsidR="00C90448">
      <w:t>TLIF0048 Manage rail safety compliance</w:t>
    </w:r>
    <w:r w:rsidR="00C90448">
      <w:fldChar w:fldCharType="end"/>
    </w:r>
    <w:r>
      <w:tab/>
      <w:t xml:space="preserve">Date this document was generated: </w:t>
    </w:r>
    <w:r>
      <w:fldChar w:fldCharType="begin"/>
    </w:r>
    <w:r>
      <w:instrText xml:space="preserve"> CREATEDATE  \@ "d MMMM yyyy"  \* MERGEFORMAT </w:instrText>
    </w:r>
    <w:r>
      <w:fldChar w:fldCharType="separate"/>
    </w:r>
    <w:r w:rsidR="00C90448">
      <w:rPr>
        <w:noProof/>
      </w:rPr>
      <w:t>2 March 2025</w:t>
    </w:r>
    <w:r>
      <w:fldChar w:fldCharType="end"/>
    </w:r>
  </w:p>
  <w:p w:rsidR="00057C5F" w:rsidP="00057C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A65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2AC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A01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C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C5F"/>
    <w:pPr>
      <w:spacing w:before="360" w:after="60"/>
      <w:outlineLvl w:val="0"/>
    </w:pPr>
    <w:rPr>
      <w:sz w:val="32"/>
    </w:rPr>
  </w:style>
  <w:style w:type="paragraph" w:styleId="Heading2">
    <w:name w:val="heading 2"/>
    <w:basedOn w:val="HeadingBase"/>
    <w:next w:val="BodyText"/>
    <w:link w:val="Heading2Char"/>
    <w:qFormat/>
    <w:rsid w:val="00057C5F"/>
    <w:pPr>
      <w:keepLines/>
      <w:spacing w:before="240" w:after="120"/>
      <w:outlineLvl w:val="1"/>
    </w:pPr>
    <w:rPr>
      <w:sz w:val="28"/>
      <w:szCs w:val="40"/>
    </w:rPr>
  </w:style>
  <w:style w:type="paragraph" w:styleId="Heading3">
    <w:name w:val="heading 3"/>
    <w:basedOn w:val="HeadingBase"/>
    <w:next w:val="BodyText"/>
    <w:link w:val="Heading3Char"/>
    <w:qFormat/>
    <w:rsid w:val="00057C5F"/>
    <w:pPr>
      <w:spacing w:before="180" w:after="120"/>
      <w:outlineLvl w:val="2"/>
    </w:pPr>
    <w:rPr>
      <w:spacing w:val="-10"/>
      <w:kern w:val="32"/>
    </w:rPr>
  </w:style>
  <w:style w:type="paragraph" w:styleId="Heading4">
    <w:name w:val="heading 4"/>
    <w:basedOn w:val="HeadingBase"/>
    <w:next w:val="BodyText"/>
    <w:link w:val="Heading4Char"/>
    <w:qFormat/>
    <w:rsid w:val="00057C5F"/>
    <w:pPr>
      <w:spacing w:before="160" w:after="120"/>
      <w:outlineLvl w:val="3"/>
    </w:pPr>
    <w:rPr>
      <w:sz w:val="22"/>
    </w:rPr>
  </w:style>
  <w:style w:type="paragraph" w:styleId="Heading5">
    <w:name w:val="heading 5"/>
    <w:basedOn w:val="HeadingBase"/>
    <w:next w:val="Normal"/>
    <w:link w:val="Heading5Char"/>
    <w:qFormat/>
    <w:rsid w:val="00057C5F"/>
    <w:pPr>
      <w:spacing w:before="80"/>
      <w:outlineLvl w:val="4"/>
    </w:pPr>
    <w:rPr>
      <w:color w:val="918585"/>
      <w:sz w:val="20"/>
    </w:rPr>
  </w:style>
  <w:style w:type="paragraph" w:styleId="Heading6">
    <w:name w:val="heading 6"/>
    <w:basedOn w:val="HeadingBase"/>
    <w:next w:val="Normal"/>
    <w:link w:val="Heading6Char"/>
    <w:qFormat/>
    <w:rsid w:val="00057C5F"/>
    <w:pPr>
      <w:spacing w:before="60"/>
      <w:outlineLvl w:val="5"/>
    </w:pPr>
    <w:rPr>
      <w:color w:val="918585"/>
      <w:sz w:val="20"/>
    </w:rPr>
  </w:style>
  <w:style w:type="paragraph" w:styleId="Heading7">
    <w:name w:val="heading 7"/>
    <w:basedOn w:val="Normal"/>
    <w:next w:val="Normal"/>
    <w:link w:val="Heading7Char"/>
    <w:qFormat/>
    <w:rsid w:val="00057C5F"/>
    <w:pPr>
      <w:ind w:left="720"/>
      <w:outlineLvl w:val="6"/>
    </w:pPr>
    <w:rPr>
      <w:i/>
    </w:rPr>
  </w:style>
  <w:style w:type="paragraph" w:styleId="Heading8">
    <w:name w:val="heading 8"/>
    <w:basedOn w:val="Normal"/>
    <w:next w:val="Normal"/>
    <w:link w:val="Heading8Char"/>
    <w:qFormat/>
    <w:rsid w:val="00057C5F"/>
    <w:pPr>
      <w:ind w:left="720"/>
      <w:outlineLvl w:val="7"/>
    </w:pPr>
    <w:rPr>
      <w:i/>
    </w:rPr>
  </w:style>
  <w:style w:type="paragraph" w:styleId="Heading9">
    <w:name w:val="heading 9"/>
    <w:basedOn w:val="Normal"/>
    <w:next w:val="Normal"/>
    <w:link w:val="Heading9Char"/>
    <w:qFormat/>
    <w:rsid w:val="00057C5F"/>
    <w:pPr>
      <w:ind w:left="720"/>
      <w:outlineLvl w:val="8"/>
    </w:pPr>
    <w:rPr>
      <w:i/>
    </w:rPr>
  </w:style>
  <w:style w:type="character" w:default="1" w:styleId="DefaultParagraphFont">
    <w:name w:val="Default Paragraph Font"/>
    <w:uiPriority w:val="1"/>
    <w:unhideWhenUsed/>
    <w:rsid w:val="00057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C5F"/>
  </w:style>
  <w:style w:type="character" w:customStyle="1" w:styleId="Heading1Char">
    <w:name w:val="Heading 1 Char"/>
    <w:basedOn w:val="DefaultParagraphFont"/>
    <w:link w:val="Heading1"/>
    <w:rsid w:val="00057C5F"/>
    <w:rPr>
      <w:rFonts w:ascii="Times New Roman" w:eastAsia="Times New Roman" w:hAnsi="Times New Roman" w:cs="Times New Roman"/>
      <w:b/>
      <w:sz w:val="32"/>
      <w:szCs w:val="20"/>
      <w:lang w:eastAsia="en-US"/>
    </w:rPr>
  </w:style>
  <w:style w:type="paragraph" w:styleId="BodyText">
    <w:name w:val="Body Text"/>
    <w:basedOn w:val="Normal"/>
    <w:link w:val="BodyTextChar"/>
    <w:rsid w:val="00057C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C5F"/>
    <w:rPr>
      <w:rFonts w:ascii="Times New Roman" w:eastAsia="Times New Roman" w:hAnsi="Times New Roman" w:cs="Times New Roman"/>
      <w:sz w:val="24"/>
      <w:lang w:eastAsia="en-US"/>
    </w:rPr>
  </w:style>
  <w:style w:type="paragraph" w:styleId="ListBullet">
    <w:name w:val="List Bullet"/>
    <w:basedOn w:val="List"/>
    <w:rsid w:val="00057C5F"/>
    <w:pPr>
      <w:numPr>
        <w:numId w:val="12"/>
      </w:numPr>
      <w:tabs>
        <w:tab w:val="clear" w:pos="340"/>
      </w:tabs>
      <w:spacing w:before="40" w:after="40"/>
    </w:pPr>
  </w:style>
  <w:style w:type="character" w:customStyle="1" w:styleId="SpecialBold">
    <w:name w:val="Special Bold"/>
    <w:basedOn w:val="DefaultParagraphFont"/>
    <w:rsid w:val="00057C5F"/>
    <w:rPr>
      <w:b/>
      <w:spacing w:val="0"/>
    </w:rPr>
  </w:style>
  <w:style w:type="paragraph" w:styleId="ListBullet2">
    <w:name w:val="List Bullet 2"/>
    <w:basedOn w:val="List2"/>
    <w:rsid w:val="00057C5F"/>
    <w:pPr>
      <w:numPr>
        <w:numId w:val="13"/>
      </w:numPr>
      <w:tabs>
        <w:tab w:val="clear" w:pos="680"/>
      </w:tabs>
    </w:pPr>
  </w:style>
  <w:style w:type="paragraph" w:customStyle="1" w:styleId="SuperHeading">
    <w:name w:val="SuperHeading"/>
    <w:basedOn w:val="Normal"/>
    <w:rsid w:val="00057C5F"/>
    <w:pPr>
      <w:spacing w:before="240" w:after="120"/>
      <w:outlineLvl w:val="0"/>
    </w:pPr>
    <w:rPr>
      <w:rFonts w:ascii="Times New Roman" w:hAnsi="Times New Roman"/>
      <w:b/>
      <w:sz w:val="32"/>
    </w:rPr>
  </w:style>
  <w:style w:type="paragraph" w:customStyle="1" w:styleId="AllowPageBreak">
    <w:name w:val="AllowPageBreak"/>
    <w:rsid w:val="00057C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7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C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C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C5F"/>
    <w:rPr>
      <w:rFonts w:ascii="Courier New" w:eastAsia="Times New Roman" w:hAnsi="Courier New" w:cs="Times New Roman"/>
      <w:i/>
      <w:szCs w:val="20"/>
      <w:lang w:eastAsia="en-US"/>
    </w:rPr>
  </w:style>
  <w:style w:type="paragraph" w:customStyle="1" w:styleId="HeadingBase">
    <w:name w:val="Heading Base"/>
    <w:rsid w:val="00057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C5F"/>
    <w:pPr>
      <w:tabs>
        <w:tab w:val="right" w:leader="dot" w:pos="9072"/>
      </w:tabs>
      <w:ind w:left="567"/>
    </w:pPr>
    <w:rPr>
      <w:szCs w:val="22"/>
    </w:rPr>
  </w:style>
  <w:style w:type="paragraph" w:customStyle="1" w:styleId="TOCBase">
    <w:name w:val="TOC Base"/>
    <w:rsid w:val="00057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C5F"/>
    <w:pPr>
      <w:tabs>
        <w:tab w:val="right" w:leader="dot" w:pos="9072"/>
      </w:tabs>
      <w:spacing w:before="40" w:after="40"/>
      <w:ind w:left="284"/>
    </w:pPr>
    <w:rPr>
      <w:rFonts w:ascii="Times New Roman" w:hAnsi="Times New Roman"/>
    </w:rPr>
  </w:style>
  <w:style w:type="paragraph" w:styleId="TOC1">
    <w:name w:val="toc 1"/>
    <w:basedOn w:val="TOCBase"/>
    <w:next w:val="Normal"/>
    <w:rsid w:val="00057C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C5F"/>
    <w:rPr>
      <w:rFonts w:ascii="Times New Roman" w:eastAsia="Times New Roman" w:hAnsi="Times New Roman" w:cs="Times New Roman"/>
      <w:sz w:val="16"/>
      <w:lang w:eastAsia="en-US"/>
    </w:rPr>
  </w:style>
  <w:style w:type="paragraph" w:styleId="Title">
    <w:name w:val="Title"/>
    <w:basedOn w:val="HeadingBase"/>
    <w:link w:val="TitleChar"/>
    <w:qFormat/>
    <w:rsid w:val="00057C5F"/>
    <w:pPr>
      <w:spacing w:before="5040"/>
      <w:jc w:val="center"/>
    </w:pPr>
    <w:rPr>
      <w:sz w:val="48"/>
      <w:szCs w:val="72"/>
      <w:lang w:val="en-US"/>
    </w:rPr>
  </w:style>
  <w:style w:type="character" w:customStyle="1" w:styleId="TitleChar">
    <w:name w:val="Title Char"/>
    <w:basedOn w:val="DefaultParagraphFont"/>
    <w:link w:val="Title"/>
    <w:rsid w:val="00057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C5F"/>
    <w:pPr>
      <w:tabs>
        <w:tab w:val="left" w:pos="3600"/>
        <w:tab w:val="left" w:pos="3958"/>
      </w:tabs>
    </w:pPr>
  </w:style>
  <w:style w:type="paragraph" w:styleId="List">
    <w:name w:val="List"/>
    <w:basedOn w:val="BodyText"/>
    <w:next w:val="BodyText"/>
    <w:rsid w:val="00057C5F"/>
    <w:pPr>
      <w:tabs>
        <w:tab w:val="left" w:pos="340"/>
      </w:tabs>
      <w:spacing w:before="60" w:after="60"/>
      <w:ind w:left="340" w:hanging="340"/>
    </w:pPr>
  </w:style>
  <w:style w:type="paragraph" w:customStyle="1" w:styleId="Note">
    <w:name w:val="Note"/>
    <w:basedOn w:val="BodyText"/>
    <w:rsid w:val="00057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C5F"/>
    <w:pPr>
      <w:framePr w:wrap="auto" w:hAnchor="text" w:y="6049"/>
    </w:pPr>
    <w:rPr>
      <w:color w:val="000000"/>
      <w:sz w:val="40"/>
    </w:rPr>
  </w:style>
  <w:style w:type="paragraph" w:customStyle="1" w:styleId="TOCTitle">
    <w:name w:val="TOCTitle"/>
    <w:basedOn w:val="Heading1"/>
    <w:rsid w:val="00057C5F"/>
    <w:pPr>
      <w:spacing w:after="240"/>
      <w:jc w:val="center"/>
      <w:outlineLvl w:val="9"/>
    </w:pPr>
    <w:rPr>
      <w:caps/>
    </w:rPr>
  </w:style>
  <w:style w:type="paragraph" w:customStyle="1" w:styleId="Version">
    <w:name w:val="Version"/>
    <w:rsid w:val="00057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C5F"/>
    <w:pPr>
      <w:keepNext w:val="0"/>
      <w:tabs>
        <w:tab w:val="right" w:pos="4176"/>
      </w:tabs>
      <w:ind w:left="198" w:hanging="198"/>
    </w:pPr>
    <w:rPr>
      <w:rFonts w:ascii="Garamond" w:hAnsi="Garamond"/>
    </w:rPr>
  </w:style>
  <w:style w:type="paragraph" w:styleId="IndexHeading">
    <w:name w:val="index heading"/>
    <w:basedOn w:val="Normal"/>
    <w:next w:val="Index1"/>
    <w:semiHidden/>
    <w:rsid w:val="00057C5F"/>
    <w:pPr>
      <w:spacing w:before="120" w:after="120"/>
    </w:pPr>
    <w:rPr>
      <w:rFonts w:ascii="Arial" w:hAnsi="Arial"/>
      <w:b/>
      <w:color w:val="918585"/>
      <w:sz w:val="24"/>
    </w:rPr>
  </w:style>
  <w:style w:type="paragraph" w:styleId="Header">
    <w:name w:val="header"/>
    <w:basedOn w:val="Normal"/>
    <w:link w:val="HeaderChar"/>
    <w:rsid w:val="00057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C5F"/>
    <w:rPr>
      <w:rFonts w:ascii="Times New Roman" w:eastAsia="Times New Roman" w:hAnsi="Times New Roman" w:cs="Times New Roman"/>
      <w:sz w:val="16"/>
      <w:szCs w:val="20"/>
      <w:lang w:val="en-GB" w:eastAsia="en-US"/>
    </w:rPr>
  </w:style>
  <w:style w:type="paragraph" w:customStyle="1" w:styleId="Chapter">
    <w:name w:val="Chapter"/>
    <w:basedOn w:val="Normal"/>
    <w:rsid w:val="00057C5F"/>
    <w:pPr>
      <w:spacing w:before="240"/>
    </w:pPr>
    <w:rPr>
      <w:rFonts w:ascii="Times New Roman" w:hAnsi="Times New Roman"/>
      <w:smallCaps/>
      <w:spacing w:val="80"/>
      <w:sz w:val="28"/>
    </w:rPr>
  </w:style>
  <w:style w:type="paragraph" w:customStyle="1" w:styleId="InChapter">
    <w:name w:val="InChapter"/>
    <w:basedOn w:val="Heading3"/>
    <w:rsid w:val="00057C5F"/>
    <w:pPr>
      <w:spacing w:after="240"/>
      <w:outlineLvl w:val="9"/>
    </w:pPr>
    <w:rPr>
      <w:noProof/>
    </w:rPr>
  </w:style>
  <w:style w:type="paragraph" w:styleId="Index2">
    <w:name w:val="index 2"/>
    <w:basedOn w:val="Normal"/>
    <w:next w:val="Normal"/>
    <w:semiHidden/>
    <w:rsid w:val="00057C5F"/>
    <w:pPr>
      <w:tabs>
        <w:tab w:val="right" w:pos="4176"/>
      </w:tabs>
      <w:ind w:left="568" w:hanging="284"/>
    </w:pPr>
    <w:rPr>
      <w:rFonts w:ascii="Garamond" w:hAnsi="Garamond"/>
    </w:rPr>
  </w:style>
  <w:style w:type="paragraph" w:customStyle="1" w:styleId="Byline">
    <w:name w:val="Byline"/>
    <w:rsid w:val="00057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C5F"/>
    <w:pPr>
      <w:tabs>
        <w:tab w:val="clear" w:pos="3600"/>
        <w:tab w:val="clear" w:pos="3958"/>
      </w:tabs>
      <w:jc w:val="right"/>
    </w:pPr>
  </w:style>
  <w:style w:type="character" w:styleId="Emphasis">
    <w:name w:val="Emphasis"/>
    <w:basedOn w:val="DefaultParagraphFont"/>
    <w:qFormat/>
    <w:rsid w:val="00057C5F"/>
    <w:rPr>
      <w:i/>
    </w:rPr>
  </w:style>
  <w:style w:type="paragraph" w:styleId="Caption">
    <w:name w:val="caption"/>
    <w:basedOn w:val="BodyText"/>
    <w:next w:val="Normal"/>
    <w:qFormat/>
    <w:rsid w:val="00057C5F"/>
    <w:pPr>
      <w:framePr w:w="2268" w:hSpace="181" w:vSpace="181" w:wrap="around" w:vAnchor="text" w:hAnchor="page" w:x="1135" w:y="285" w:anchorLock="1"/>
    </w:pPr>
    <w:rPr>
      <w:i/>
    </w:rPr>
  </w:style>
  <w:style w:type="paragraph" w:customStyle="1" w:styleId="MiniTOCTitle">
    <w:name w:val="MiniTOCTitle"/>
    <w:basedOn w:val="Heading4"/>
    <w:rsid w:val="00057C5F"/>
    <w:pPr>
      <w:spacing w:before="240"/>
      <w:outlineLvl w:val="9"/>
    </w:pPr>
    <w:rPr>
      <w:noProof/>
      <w:sz w:val="24"/>
    </w:rPr>
  </w:style>
  <w:style w:type="paragraph" w:customStyle="1" w:styleId="MiniTOCItem">
    <w:name w:val="MiniTOCItem"/>
    <w:basedOn w:val="ListBullet"/>
    <w:rsid w:val="00057C5F"/>
    <w:pPr>
      <w:numPr>
        <w:numId w:val="0"/>
      </w:numPr>
      <w:tabs>
        <w:tab w:val="right" w:leader="dot" w:pos="6521"/>
      </w:tabs>
      <w:spacing w:before="0" w:after="0"/>
    </w:pPr>
  </w:style>
  <w:style w:type="paragraph" w:customStyle="1" w:styleId="TOFTitle">
    <w:name w:val="TOFTitle"/>
    <w:basedOn w:val="TOCTitle"/>
    <w:rsid w:val="00057C5F"/>
  </w:style>
  <w:style w:type="paragraph" w:styleId="TableofFigures">
    <w:name w:val="table of figures"/>
    <w:basedOn w:val="Normal"/>
    <w:next w:val="Normal"/>
    <w:semiHidden/>
    <w:rsid w:val="00057C5F"/>
    <w:pPr>
      <w:tabs>
        <w:tab w:val="right" w:leader="dot" w:pos="9072"/>
      </w:tabs>
      <w:ind w:left="970" w:hanging="403"/>
    </w:pPr>
    <w:rPr>
      <w:rFonts w:ascii="Times New Roman" w:hAnsi="Times New Roman"/>
      <w:b/>
    </w:rPr>
  </w:style>
  <w:style w:type="paragraph" w:styleId="ListNumber">
    <w:name w:val="List Number"/>
    <w:basedOn w:val="List"/>
    <w:rsid w:val="00057C5F"/>
    <w:pPr>
      <w:numPr>
        <w:numId w:val="15"/>
      </w:numPr>
      <w:tabs>
        <w:tab w:val="clear" w:pos="340"/>
      </w:tabs>
    </w:pPr>
  </w:style>
  <w:style w:type="character" w:customStyle="1" w:styleId="WingdingSymbols">
    <w:name w:val="Wingding Symbols"/>
    <w:rsid w:val="00057C5F"/>
    <w:rPr>
      <w:rFonts w:ascii="Wingdings" w:hAnsi="Wingdings"/>
    </w:rPr>
  </w:style>
  <w:style w:type="paragraph" w:customStyle="1" w:styleId="TableHeading">
    <w:name w:val="Table Heading"/>
    <w:basedOn w:val="HeadingBase"/>
    <w:rsid w:val="00057C5F"/>
    <w:pPr>
      <w:keepLines/>
      <w:pBdr>
        <w:bottom w:val="single" w:sz="6" w:space="1" w:color="918585"/>
      </w:pBdr>
      <w:spacing w:before="240"/>
    </w:pPr>
  </w:style>
  <w:style w:type="character" w:customStyle="1" w:styleId="HotSpot">
    <w:name w:val="HotSpot"/>
    <w:rsid w:val="00057C5F"/>
    <w:rPr>
      <w:color w:val="0033CC"/>
      <w:u w:val="none"/>
    </w:rPr>
  </w:style>
  <w:style w:type="paragraph" w:customStyle="1" w:styleId="BodyTextRight">
    <w:name w:val="Body Text Right"/>
    <w:basedOn w:val="BodyText"/>
    <w:rsid w:val="00057C5F"/>
    <w:pPr>
      <w:spacing w:before="0" w:after="0"/>
      <w:jc w:val="right"/>
    </w:pPr>
  </w:style>
  <w:style w:type="paragraph" w:styleId="Index3">
    <w:name w:val="index 3"/>
    <w:basedOn w:val="ListNumber2"/>
    <w:next w:val="Normal"/>
    <w:semiHidden/>
    <w:rsid w:val="00057C5F"/>
    <w:pPr>
      <w:numPr>
        <w:numId w:val="0"/>
      </w:numPr>
      <w:tabs>
        <w:tab w:val="right" w:leader="dot" w:pos="4176"/>
      </w:tabs>
    </w:pPr>
  </w:style>
  <w:style w:type="paragraph" w:styleId="ListNumber2">
    <w:name w:val="List Number 2"/>
    <w:basedOn w:val="List2"/>
    <w:rsid w:val="00057C5F"/>
    <w:pPr>
      <w:numPr>
        <w:numId w:val="10"/>
      </w:numPr>
      <w:tabs>
        <w:tab w:val="clear" w:pos="1060"/>
      </w:tabs>
    </w:pPr>
  </w:style>
  <w:style w:type="paragraph" w:customStyle="1" w:styleId="MarginNote">
    <w:name w:val="Margin Note"/>
    <w:basedOn w:val="BodyText"/>
    <w:rsid w:val="00057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C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C5F"/>
    <w:rPr>
      <w:sz w:val="32"/>
    </w:rPr>
  </w:style>
  <w:style w:type="paragraph" w:customStyle="1" w:styleId="HeadingProcedure">
    <w:name w:val="Heading Procedure"/>
    <w:basedOn w:val="HeadingBase"/>
    <w:next w:val="Normal"/>
    <w:rsid w:val="00057C5F"/>
    <w:pPr>
      <w:tabs>
        <w:tab w:val="left" w:pos="0"/>
      </w:tabs>
      <w:spacing w:before="120" w:after="60"/>
    </w:pPr>
    <w:rPr>
      <w:i/>
      <w:color w:val="918585"/>
      <w:sz w:val="22"/>
    </w:rPr>
  </w:style>
  <w:style w:type="paragraph" w:customStyle="1" w:styleId="TableBodyText">
    <w:name w:val="Table Body Text"/>
    <w:basedOn w:val="BodyText"/>
    <w:rsid w:val="00057C5F"/>
    <w:pPr>
      <w:spacing w:before="60" w:after="60"/>
    </w:pPr>
  </w:style>
  <w:style w:type="paragraph" w:styleId="ListContinue">
    <w:name w:val="List Continue"/>
    <w:basedOn w:val="List"/>
    <w:rsid w:val="00057C5F"/>
    <w:pPr>
      <w:ind w:firstLine="0"/>
    </w:pPr>
  </w:style>
  <w:style w:type="paragraph" w:customStyle="1" w:styleId="ListNote">
    <w:name w:val="List Note"/>
    <w:basedOn w:val="List"/>
    <w:rsid w:val="00057C5F"/>
    <w:pPr>
      <w:pBdr>
        <w:top w:val="single" w:sz="6" w:space="2" w:color="918585"/>
        <w:bottom w:val="single" w:sz="6" w:space="2" w:color="918585"/>
      </w:pBdr>
      <w:tabs>
        <w:tab w:val="left" w:pos="1021"/>
      </w:tabs>
      <w:ind w:firstLine="0"/>
    </w:pPr>
  </w:style>
  <w:style w:type="paragraph" w:customStyle="1" w:styleId="Warning">
    <w:name w:val="Warning"/>
    <w:basedOn w:val="BodyText"/>
    <w:rsid w:val="00057C5F"/>
    <w:pPr>
      <w:shd w:val="clear" w:color="auto" w:fill="D9D9D9"/>
      <w:tabs>
        <w:tab w:val="left" w:pos="992"/>
      </w:tabs>
      <w:ind w:left="119" w:right="119"/>
    </w:pPr>
    <w:rPr>
      <w:sz w:val="20"/>
    </w:rPr>
  </w:style>
  <w:style w:type="paragraph" w:customStyle="1" w:styleId="MarginIcons">
    <w:name w:val="Margin Icons"/>
    <w:basedOn w:val="BodyText"/>
    <w:rsid w:val="00057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C5F"/>
    <w:rPr>
      <w:rFonts w:ascii="Courier New" w:hAnsi="Courier New"/>
    </w:rPr>
  </w:style>
  <w:style w:type="paragraph" w:customStyle="1" w:styleId="NoteBullet">
    <w:name w:val="Note Bullet"/>
    <w:basedOn w:val="Note"/>
    <w:rsid w:val="00057C5F"/>
    <w:pPr>
      <w:tabs>
        <w:tab w:val="clear" w:pos="680"/>
      </w:tabs>
      <w:spacing w:before="60" w:after="60"/>
    </w:pPr>
  </w:style>
  <w:style w:type="paragraph" w:customStyle="1" w:styleId="SubHeading2">
    <w:name w:val="SubHeading2"/>
    <w:basedOn w:val="HeadingBase"/>
    <w:rsid w:val="00057C5F"/>
    <w:pPr>
      <w:spacing w:before="240" w:after="60"/>
    </w:pPr>
    <w:rPr>
      <w:sz w:val="20"/>
    </w:rPr>
  </w:style>
  <w:style w:type="paragraph" w:customStyle="1" w:styleId="SubHeading1">
    <w:name w:val="SubHeading1"/>
    <w:basedOn w:val="HeadingBase"/>
    <w:rsid w:val="00057C5F"/>
    <w:pPr>
      <w:spacing w:before="240" w:after="60"/>
    </w:pPr>
    <w:rPr>
      <w:color w:val="918585"/>
      <w:sz w:val="22"/>
    </w:rPr>
  </w:style>
  <w:style w:type="paragraph" w:customStyle="1" w:styleId="SideHeading">
    <w:name w:val="Side Heading"/>
    <w:basedOn w:val="HeadingBase"/>
    <w:rsid w:val="00057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C5F"/>
    <w:pPr>
      <w:tabs>
        <w:tab w:val="num" w:pos="360"/>
      </w:tabs>
    </w:pPr>
  </w:style>
  <w:style w:type="paragraph" w:styleId="PlainText">
    <w:name w:val="Plain Text"/>
    <w:basedOn w:val="Normal"/>
    <w:link w:val="PlainTextChar"/>
    <w:rsid w:val="00057C5F"/>
    <w:rPr>
      <w:sz w:val="20"/>
    </w:rPr>
  </w:style>
  <w:style w:type="character" w:customStyle="1" w:styleId="PlainTextChar">
    <w:name w:val="Plain Text Char"/>
    <w:basedOn w:val="DefaultParagraphFont"/>
    <w:link w:val="PlainText"/>
    <w:rsid w:val="00057C5F"/>
    <w:rPr>
      <w:rFonts w:ascii="Courier New" w:eastAsia="Times New Roman" w:hAnsi="Courier New" w:cs="Times New Roman"/>
      <w:sz w:val="20"/>
      <w:szCs w:val="20"/>
      <w:lang w:eastAsia="en-US"/>
    </w:rPr>
  </w:style>
  <w:style w:type="character" w:customStyle="1" w:styleId="MenuOption">
    <w:name w:val="Menu Option"/>
    <w:basedOn w:val="DefaultParagraphFont"/>
    <w:rsid w:val="00057C5F"/>
    <w:rPr>
      <w:b/>
      <w:smallCaps/>
    </w:rPr>
  </w:style>
  <w:style w:type="paragraph" w:customStyle="1" w:styleId="TableListNumber">
    <w:name w:val="Table List Number"/>
    <w:basedOn w:val="ListNumber"/>
    <w:rsid w:val="00057C5F"/>
    <w:pPr>
      <w:numPr>
        <w:numId w:val="0"/>
      </w:numPr>
    </w:pPr>
  </w:style>
  <w:style w:type="paragraph" w:styleId="TOC4">
    <w:name w:val="toc 4"/>
    <w:basedOn w:val="TOCBase"/>
    <w:next w:val="Normal"/>
    <w:semiHidden/>
    <w:rsid w:val="00057C5F"/>
    <w:pPr>
      <w:tabs>
        <w:tab w:val="right" w:leader="dot" w:pos="9071"/>
      </w:tabs>
      <w:ind w:left="1701"/>
    </w:pPr>
  </w:style>
  <w:style w:type="paragraph" w:customStyle="1" w:styleId="ListAlpha">
    <w:name w:val="List Alpha"/>
    <w:basedOn w:val="List"/>
    <w:rsid w:val="00057C5F"/>
    <w:pPr>
      <w:numPr>
        <w:numId w:val="9"/>
      </w:numPr>
    </w:pPr>
  </w:style>
  <w:style w:type="paragraph" w:customStyle="1" w:styleId="ListAlpha2">
    <w:name w:val="List Alpha 2"/>
    <w:basedOn w:val="List2"/>
    <w:rsid w:val="00057C5F"/>
    <w:pPr>
      <w:numPr>
        <w:numId w:val="8"/>
      </w:numPr>
    </w:pPr>
  </w:style>
  <w:style w:type="paragraph" w:styleId="List2">
    <w:name w:val="List 2"/>
    <w:basedOn w:val="BodyText"/>
    <w:rsid w:val="00057C5F"/>
    <w:pPr>
      <w:tabs>
        <w:tab w:val="left" w:pos="680"/>
      </w:tabs>
      <w:spacing w:before="60" w:after="60"/>
      <w:ind w:left="680" w:hanging="340"/>
    </w:pPr>
  </w:style>
  <w:style w:type="paragraph" w:styleId="List3">
    <w:name w:val="List 3"/>
    <w:basedOn w:val="BodyText"/>
    <w:rsid w:val="00057C5F"/>
    <w:pPr>
      <w:tabs>
        <w:tab w:val="left" w:pos="1021"/>
      </w:tabs>
      <w:spacing w:before="60" w:after="60"/>
      <w:ind w:left="1020" w:hanging="340"/>
    </w:pPr>
  </w:style>
  <w:style w:type="paragraph" w:styleId="List4">
    <w:name w:val="List 4"/>
    <w:basedOn w:val="BodyText"/>
    <w:rsid w:val="00057C5F"/>
    <w:pPr>
      <w:tabs>
        <w:tab w:val="left" w:pos="1361"/>
      </w:tabs>
      <w:spacing w:before="60" w:after="60"/>
      <w:ind w:left="1361" w:hanging="340"/>
    </w:pPr>
  </w:style>
  <w:style w:type="paragraph" w:styleId="List5">
    <w:name w:val="List 5"/>
    <w:basedOn w:val="BodyText"/>
    <w:rsid w:val="00057C5F"/>
    <w:pPr>
      <w:tabs>
        <w:tab w:val="left" w:pos="1701"/>
      </w:tabs>
      <w:spacing w:before="60" w:after="60"/>
      <w:ind w:left="1701" w:hanging="340"/>
    </w:pPr>
  </w:style>
  <w:style w:type="paragraph" w:styleId="ListBullet3">
    <w:name w:val="List Bullet 3"/>
    <w:basedOn w:val="List3"/>
    <w:rsid w:val="00057C5F"/>
    <w:pPr>
      <w:numPr>
        <w:numId w:val="14"/>
      </w:numPr>
      <w:tabs>
        <w:tab w:val="clear" w:pos="1021"/>
      </w:tabs>
      <w:ind w:left="1037" w:hanging="357"/>
    </w:pPr>
  </w:style>
  <w:style w:type="paragraph" w:styleId="ListBullet4">
    <w:name w:val="List Bullet 4"/>
    <w:basedOn w:val="List4"/>
    <w:rsid w:val="00057C5F"/>
    <w:pPr>
      <w:numPr>
        <w:numId w:val="3"/>
      </w:numPr>
      <w:tabs>
        <w:tab w:val="clear" w:pos="1361"/>
      </w:tabs>
    </w:pPr>
  </w:style>
  <w:style w:type="paragraph" w:styleId="ListBullet5">
    <w:name w:val="List Bullet 5"/>
    <w:basedOn w:val="List5"/>
    <w:rsid w:val="00057C5F"/>
    <w:pPr>
      <w:numPr>
        <w:numId w:val="4"/>
      </w:numPr>
    </w:pPr>
  </w:style>
  <w:style w:type="paragraph" w:styleId="ListContinue2">
    <w:name w:val="List Continue 2"/>
    <w:basedOn w:val="List2"/>
    <w:rsid w:val="00057C5F"/>
    <w:pPr>
      <w:ind w:firstLine="0"/>
    </w:pPr>
  </w:style>
  <w:style w:type="paragraph" w:styleId="ListContinue3">
    <w:name w:val="List Continue 3"/>
    <w:basedOn w:val="List3"/>
    <w:rsid w:val="00057C5F"/>
    <w:pPr>
      <w:ind w:left="1021" w:firstLine="0"/>
    </w:pPr>
  </w:style>
  <w:style w:type="paragraph" w:styleId="ListContinue4">
    <w:name w:val="List Continue 4"/>
    <w:basedOn w:val="List4"/>
    <w:rsid w:val="00057C5F"/>
    <w:pPr>
      <w:ind w:firstLine="0"/>
    </w:pPr>
  </w:style>
  <w:style w:type="paragraph" w:styleId="ListContinue5">
    <w:name w:val="List Continue 5"/>
    <w:basedOn w:val="List5"/>
    <w:rsid w:val="00057C5F"/>
    <w:pPr>
      <w:ind w:firstLine="0"/>
    </w:pPr>
  </w:style>
  <w:style w:type="paragraph" w:styleId="ListNumber3">
    <w:name w:val="List Number 3"/>
    <w:basedOn w:val="List3"/>
    <w:rsid w:val="00057C5F"/>
    <w:pPr>
      <w:numPr>
        <w:numId w:val="5"/>
      </w:numPr>
    </w:pPr>
  </w:style>
  <w:style w:type="paragraph" w:styleId="ListNumber4">
    <w:name w:val="List Number 4"/>
    <w:basedOn w:val="List4"/>
    <w:rsid w:val="00057C5F"/>
    <w:pPr>
      <w:numPr>
        <w:numId w:val="6"/>
      </w:numPr>
    </w:pPr>
  </w:style>
  <w:style w:type="paragraph" w:styleId="ListNumber5">
    <w:name w:val="List Number 5"/>
    <w:basedOn w:val="List5"/>
    <w:rsid w:val="00057C5F"/>
    <w:pPr>
      <w:numPr>
        <w:numId w:val="7"/>
      </w:numPr>
    </w:pPr>
  </w:style>
  <w:style w:type="paragraph" w:styleId="BlockText">
    <w:name w:val="Block Text"/>
    <w:basedOn w:val="Normal"/>
    <w:rsid w:val="00057C5F"/>
    <w:pPr>
      <w:spacing w:after="120"/>
      <w:ind w:left="1440" w:right="1440"/>
    </w:pPr>
  </w:style>
  <w:style w:type="character" w:customStyle="1" w:styleId="Subscript">
    <w:name w:val="Subscript"/>
    <w:basedOn w:val="DefaultParagraphFont"/>
    <w:rsid w:val="00057C5F"/>
    <w:rPr>
      <w:sz w:val="16"/>
      <w:vertAlign w:val="subscript"/>
    </w:rPr>
  </w:style>
  <w:style w:type="character" w:customStyle="1" w:styleId="Superscript">
    <w:name w:val="Superscript"/>
    <w:basedOn w:val="DefaultParagraphFont"/>
    <w:rsid w:val="00057C5F"/>
    <w:rPr>
      <w:sz w:val="16"/>
      <w:vertAlign w:val="superscript"/>
    </w:rPr>
  </w:style>
  <w:style w:type="character" w:customStyle="1" w:styleId="Symbols">
    <w:name w:val="Symbols"/>
    <w:basedOn w:val="DefaultParagraphFont"/>
    <w:rsid w:val="00057C5F"/>
    <w:rPr>
      <w:rFonts w:ascii="Symbol" w:hAnsi="Symbol"/>
    </w:rPr>
  </w:style>
  <w:style w:type="character" w:customStyle="1" w:styleId="MenuOptions">
    <w:name w:val="Menu Options"/>
    <w:basedOn w:val="DefaultParagraphFont"/>
    <w:rsid w:val="00057C5F"/>
    <w:rPr>
      <w:rFonts w:ascii="Arial Narrow" w:hAnsi="Arial Narrow"/>
      <w:smallCaps/>
    </w:rPr>
  </w:style>
  <w:style w:type="character" w:customStyle="1" w:styleId="Buttons">
    <w:name w:val="Buttons"/>
    <w:basedOn w:val="DefaultParagraphFont"/>
    <w:rsid w:val="00057C5F"/>
    <w:rPr>
      <w:b/>
    </w:rPr>
  </w:style>
  <w:style w:type="character" w:customStyle="1" w:styleId="Underlined">
    <w:name w:val="Underlined"/>
    <w:basedOn w:val="DefaultParagraphFont"/>
    <w:rsid w:val="00057C5F"/>
    <w:rPr>
      <w:u w:val="single"/>
    </w:rPr>
  </w:style>
  <w:style w:type="paragraph" w:customStyle="1" w:styleId="TableBodyTextRight">
    <w:name w:val="Table Body Text Right"/>
    <w:basedOn w:val="TableBodyText"/>
    <w:rsid w:val="00057C5F"/>
    <w:pPr>
      <w:widowControl w:val="0"/>
      <w:autoSpaceDE w:val="0"/>
      <w:autoSpaceDN w:val="0"/>
      <w:adjustRightInd w:val="0"/>
      <w:jc w:val="right"/>
    </w:pPr>
    <w:rPr>
      <w:rFonts w:cs="Arial"/>
      <w:szCs w:val="18"/>
    </w:rPr>
  </w:style>
  <w:style w:type="paragraph" w:customStyle="1" w:styleId="CopyrightText">
    <w:name w:val="Copyright Text"/>
    <w:basedOn w:val="BodyText"/>
    <w:rsid w:val="00057C5F"/>
    <w:rPr>
      <w:sz w:val="18"/>
    </w:rPr>
  </w:style>
  <w:style w:type="paragraph" w:customStyle="1" w:styleId="BodySmallRight">
    <w:name w:val="Body Small Right"/>
    <w:basedOn w:val="BodyTextRight"/>
    <w:rsid w:val="00057C5F"/>
    <w:rPr>
      <w:sz w:val="18"/>
      <w:szCs w:val="18"/>
    </w:rPr>
  </w:style>
  <w:style w:type="paragraph" w:customStyle="1" w:styleId="MarginEdition">
    <w:name w:val="Margin Edition"/>
    <w:basedOn w:val="MarginNote"/>
    <w:rsid w:val="00057C5F"/>
    <w:pPr>
      <w:spacing w:before="0" w:after="0"/>
    </w:pPr>
    <w:rPr>
      <w:rFonts w:ascii="Times New Roman" w:hAnsi="Times New Roman"/>
      <w:color w:val="999999"/>
    </w:rPr>
  </w:style>
  <w:style w:type="paragraph" w:customStyle="1" w:styleId="Spacer">
    <w:name w:val="Spacer"/>
    <w:basedOn w:val="Normal"/>
    <w:rsid w:val="00057C5F"/>
    <w:rPr>
      <w:sz w:val="2"/>
      <w:szCs w:val="2"/>
    </w:rPr>
  </w:style>
  <w:style w:type="character" w:customStyle="1" w:styleId="Small">
    <w:name w:val="Small"/>
    <w:basedOn w:val="DefaultParagraphFont"/>
    <w:rsid w:val="00057C5F"/>
    <w:rPr>
      <w:sz w:val="16"/>
    </w:rPr>
  </w:style>
  <w:style w:type="paragraph" w:customStyle="1" w:styleId="WideTable">
    <w:name w:val="Wide Table"/>
    <w:basedOn w:val="Normal"/>
    <w:rsid w:val="00057C5F"/>
    <w:pPr>
      <w:ind w:left="-1418"/>
    </w:pPr>
    <w:rPr>
      <w:sz w:val="2"/>
      <w:szCs w:val="2"/>
    </w:rPr>
  </w:style>
  <w:style w:type="character" w:styleId="PageNumber">
    <w:name w:val="page number"/>
    <w:basedOn w:val="DefaultParagraphFont"/>
    <w:rsid w:val="00057C5F"/>
  </w:style>
  <w:style w:type="paragraph" w:styleId="Quote">
    <w:name w:val="Quote"/>
    <w:basedOn w:val="Heading1"/>
    <w:link w:val="QuoteChar"/>
    <w:qFormat/>
    <w:rsid w:val="00057C5F"/>
    <w:rPr>
      <w:b w:val="0"/>
      <w:sz w:val="72"/>
      <w:szCs w:val="72"/>
      <w:lang w:val="en-NZ"/>
    </w:rPr>
  </w:style>
  <w:style w:type="character" w:customStyle="1" w:styleId="QuoteChar">
    <w:name w:val="Quote Char"/>
    <w:basedOn w:val="DefaultParagraphFont"/>
    <w:link w:val="Quote"/>
    <w:rsid w:val="00057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C5F"/>
    <w:pPr>
      <w:pageBreakBefore/>
    </w:pPr>
  </w:style>
  <w:style w:type="paragraph" w:customStyle="1" w:styleId="Border">
    <w:name w:val="Border"/>
    <w:basedOn w:val="Normal"/>
    <w:qFormat/>
    <w:rsid w:val="00057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C5F"/>
    <w:rPr>
      <w:b/>
      <w:bCs/>
      <w:i/>
      <w:iCs/>
      <w:color w:val="auto"/>
    </w:rPr>
  </w:style>
  <w:style w:type="paragraph" w:styleId="IntenseQuote">
    <w:name w:val="Intense Quote"/>
    <w:basedOn w:val="Normal"/>
    <w:next w:val="Normal"/>
    <w:link w:val="IntenseQuoteChar"/>
    <w:uiPriority w:val="30"/>
    <w:qFormat/>
    <w:rsid w:val="00057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C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C5F"/>
    <w:rPr>
      <w:smallCaps/>
      <w:color w:val="auto"/>
      <w:u w:val="single"/>
    </w:rPr>
  </w:style>
  <w:style w:type="character" w:styleId="IntenseReference">
    <w:name w:val="Intense Reference"/>
    <w:basedOn w:val="DefaultParagraphFont"/>
    <w:uiPriority w:val="32"/>
    <w:qFormat/>
    <w:rsid w:val="00057C5F"/>
    <w:rPr>
      <w:b/>
      <w:bCs/>
      <w:smallCaps/>
      <w:color w:val="auto"/>
      <w:spacing w:val="5"/>
      <w:u w:val="single"/>
    </w:rPr>
  </w:style>
  <w:style w:type="paragraph" w:customStyle="1" w:styleId="2ColumnHeading">
    <w:name w:val="2Column Heading"/>
    <w:basedOn w:val="BodyText"/>
    <w:qFormat/>
    <w:rsid w:val="00057C5F"/>
    <w:pPr>
      <w:spacing w:after="60"/>
      <w:ind w:left="-2268"/>
    </w:pPr>
    <w:rPr>
      <w:b/>
    </w:rPr>
  </w:style>
  <w:style w:type="paragraph" w:customStyle="1" w:styleId="Heading1TOC">
    <w:name w:val="Heading1 TOC"/>
    <w:basedOn w:val="Normal"/>
    <w:qFormat/>
    <w:rsid w:val="00057C5F"/>
    <w:pPr>
      <w:spacing w:before="240" w:after="120"/>
    </w:pPr>
    <w:rPr>
      <w:rFonts w:ascii="Times New Roman" w:hAnsi="Times New Roman"/>
      <w:b/>
      <w:sz w:val="32"/>
    </w:rPr>
  </w:style>
  <w:style w:type="paragraph" w:customStyle="1" w:styleId="Heading2TOC">
    <w:name w:val="Heading2 TOC"/>
    <w:basedOn w:val="Normal"/>
    <w:qFormat/>
    <w:rsid w:val="00057C5F"/>
    <w:pPr>
      <w:spacing w:before="240" w:after="60"/>
    </w:pPr>
    <w:rPr>
      <w:rFonts w:ascii="Times New Roman" w:hAnsi="Times New Roman"/>
      <w:b/>
      <w:sz w:val="28"/>
    </w:rPr>
  </w:style>
  <w:style w:type="character" w:customStyle="1" w:styleId="Underline">
    <w:name w:val="Underline"/>
    <w:basedOn w:val="DefaultParagraphFont"/>
    <w:qFormat/>
    <w:rsid w:val="00057C5F"/>
    <w:rPr>
      <w:u w:val="single"/>
    </w:rPr>
  </w:style>
  <w:style w:type="character" w:customStyle="1" w:styleId="BoldandItalics">
    <w:name w:val="Bold and Italics"/>
    <w:qFormat/>
    <w:rsid w:val="00057C5F"/>
    <w:rPr>
      <w:b/>
      <w:i/>
      <w:u w:val="none"/>
    </w:rPr>
  </w:style>
  <w:style w:type="paragraph" w:styleId="BalloonText">
    <w:name w:val="Balloon Text"/>
    <w:basedOn w:val="Normal"/>
    <w:link w:val="BalloonTextChar"/>
    <w:rsid w:val="00057C5F"/>
    <w:rPr>
      <w:rFonts w:ascii="Tahoma" w:hAnsi="Tahoma" w:cs="Tahoma"/>
      <w:sz w:val="16"/>
      <w:szCs w:val="16"/>
    </w:rPr>
  </w:style>
  <w:style w:type="character" w:customStyle="1" w:styleId="BalloonTextChar">
    <w:name w:val="Balloon Text Char"/>
    <w:basedOn w:val="DefaultParagraphFont"/>
    <w:link w:val="BalloonText"/>
    <w:rsid w:val="00057C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C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C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C5F"/>
    <w:rPr>
      <w:b/>
      <w:color w:val="660033"/>
      <w:spacing w:val="0"/>
    </w:rPr>
  </w:style>
  <w:style w:type="paragraph" w:customStyle="1" w:styleId="Nameditemlist">
    <w:name w:val="Named item list"/>
    <w:basedOn w:val="BodyText"/>
    <w:qFormat/>
    <w:rsid w:val="00057C5F"/>
    <w:pPr>
      <w:tabs>
        <w:tab w:val="left" w:pos="2835"/>
      </w:tabs>
      <w:ind w:left="2835" w:hanging="2835"/>
    </w:pPr>
  </w:style>
  <w:style w:type="paragraph" w:customStyle="1" w:styleId="BodyTextnopadding">
    <w:name w:val="Body Text no padding"/>
    <w:basedOn w:val="BodyText"/>
    <w:qFormat/>
    <w:rsid w:val="00057C5F"/>
    <w:pPr>
      <w:spacing w:before="0" w:after="0"/>
    </w:pPr>
  </w:style>
  <w:style w:type="paragraph" w:customStyle="1" w:styleId="BodyTextBold">
    <w:name w:val="Body Text Bold"/>
    <w:basedOn w:val="BodyText"/>
    <w:qFormat/>
    <w:rsid w:val="00057C5F"/>
    <w:rPr>
      <w:b/>
    </w:rPr>
  </w:style>
  <w:style w:type="character" w:styleId="Hyperlink">
    <w:name w:val="Hyperlink"/>
    <w:basedOn w:val="DefaultParagraphFont"/>
    <w:uiPriority w:val="99"/>
    <w:unhideWhenUsed/>
    <w:rsid w:val="00C904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7388</Characters>
  <Application>Microsoft Office Word</Application>
  <DocSecurity>0</DocSecurity>
  <Lines>284</Lines>
  <Paragraphs>130</Paragraphs>
  <ScaleCrop>false</ScaleCrop>
  <Company>Author-it Software Corporation Ltd.</Company>
  <LinksUpToDate>false</LinksUpToDate>
  <CharactersWithSpaces>8365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TLIF0048 Manage rail safety compliance</dc:title>
  <dc:subject>Approved</dc:subject>
  <dc:creator>Industry Skills Australia</dc:creator>
  <cp:keywords>Release: 1</cp:keywords>
  <dc:description>Review Date: 12 April 2008</dc:description>
  <cp:lastModifiedBy>HSD_TPCMSd.prod</cp:lastModifiedBy>
  <cp:revision>3</cp:revision>
  <dcterms:created xsi:type="dcterms:W3CDTF">2025-03-01T13:23:00Z</dcterms:created>
  <dcterms:modified xsi:type="dcterms:W3CDTF">2025-03-01T13:23:00Z</dcterms:modified>
</cp:coreProperties>
</file>