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B1B" w:rsidP="00980B1B">
      <w:pPr>
        <w:pStyle w:val="Title"/>
      </w:pPr>
      <w:r>
        <w:fldChar w:fldCharType="begin"/>
      </w:r>
      <w:r>
        <w:instrText xml:space="preserve"> TITLE   \* MERGEFORMAT </w:instrText>
      </w:r>
      <w:r>
        <w:fldChar w:fldCharType="separate"/>
      </w:r>
      <w:r>
        <w:t>TLIF0045 Investigate rail safety incidents</w:t>
      </w:r>
      <w:r>
        <w:fldChar w:fldCharType="end"/>
      </w:r>
    </w:p>
    <w:p w:rsidR="00980B1B" w:rsidP="00980B1B">
      <w:pPr>
        <w:pStyle w:val="Version"/>
        <w:sectPr w:rsidSect="005C5B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B24" w:rsidP="005C5B24">
      <w:pPr>
        <w:pStyle w:val="SuperHeading"/>
      </w:pPr>
      <w:r w:rsidRPr="005C5B24">
        <w:t>TLIF0045 Investigate rail safety incidents</w:t>
      </w:r>
    </w:p>
    <w:p w:rsidR="00000000" w:rsidRPr="005C5B24" w:rsidP="005C5B24">
      <w:pPr>
        <w:pStyle w:val="Heading1"/>
      </w:pPr>
      <w:bookmarkStart w:id="1" w:name="O_1240514"/>
      <w:bookmarkEnd w:id="1"/>
      <w:r w:rsidRPr="005C5B24">
        <w:t>Modification History</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Release 1</w:t>
            </w:r>
            <w:r w:rsidRPr="005C5B24">
              <w:t>. This is the first release of this unit of competency in the TLI Transport and Logistics Training Package.</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2" w:name="O_1240515"/>
      <w:bookmarkEnd w:id="2"/>
      <w:r w:rsidRPr="005C5B24">
        <w:t>Application</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This unit involves the skills and knowledge required to investigate an incident assoc</w:t>
            </w:r>
            <w:r w:rsidRPr="005C5B24">
              <w:t>iated with railway operations in accordance with rail safety regulatory and workplace requirements.</w:t>
            </w:r>
          </w:p>
          <w:p w:rsidR="00000000" w:rsidRPr="005C5B24" w:rsidP="005C5B24">
            <w:pPr>
              <w:pStyle w:val="BodyText"/>
            </w:pPr>
            <w:r w:rsidRPr="005C5B24">
              <w:t>It includes planning the investigation, collecting and analysing information, and preparing the safety incident report.</w:t>
            </w:r>
          </w:p>
          <w:p w:rsidR="00000000" w:rsidRPr="005C5B24" w:rsidP="005C5B24">
            <w:pPr>
              <w:pStyle w:val="BodyText"/>
            </w:pPr>
            <w:r w:rsidRPr="005C5B24">
              <w:t xml:space="preserve">People achieving competence in this </w:t>
            </w:r>
            <w:r w:rsidRPr="005C5B24">
              <w:t>unit will need to comply with the relevant state/territory rail safety legislation, codes of practice, rail network standards and/or guidelines.</w:t>
            </w:r>
          </w:p>
          <w:p w:rsidR="00000000" w:rsidRPr="005C5B24" w:rsidP="005C5B24">
            <w:pPr>
              <w:pStyle w:val="BodyText"/>
            </w:pPr>
            <w:r w:rsidRPr="005C5B24">
              <w:t xml:space="preserve">Work is performed under some supervision generally within a team environment. </w:t>
            </w:r>
          </w:p>
          <w:p w:rsidR="00000000" w:rsidRPr="005C5B24" w:rsidP="005C5B24">
            <w:pPr>
              <w:pStyle w:val="BodyText"/>
            </w:pPr>
            <w:r w:rsidRPr="005C5B24">
              <w:t>No licensing, legislative or cer</w:t>
            </w:r>
            <w:r w:rsidRPr="005C5B24">
              <w:t>tification requirements apply to this unit at the time of publication.</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3" w:name="O_1240516"/>
      <w:bookmarkEnd w:id="3"/>
      <w:r w:rsidRPr="005C5B24">
        <w:t>Pre-requisite Unit</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Not applicable.</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4" w:name="O_1240517"/>
      <w:bookmarkEnd w:id="4"/>
      <w:r w:rsidRPr="005C5B24">
        <w:t>Competency Field</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F – Safety Management</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5" w:name="O_1240518"/>
      <w:bookmarkEnd w:id="5"/>
      <w:r w:rsidRPr="005C5B24">
        <w:t>Unit Sector</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Rail sector.</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6" w:name="O_1240519"/>
      <w:bookmarkEnd w:id="6"/>
      <w:r w:rsidRPr="005C5B24">
        <w:t>Elements and Performance Criteria</w:t>
      </w:r>
    </w:p>
    <w:tbl>
      <w:tblPr>
        <w:tblW w:w="9497" w:type="dxa"/>
        <w:tblLayout w:type="fixed"/>
        <w:tblCellMar>
          <w:left w:w="62" w:type="dxa"/>
          <w:right w:w="62" w:type="dxa"/>
        </w:tblCellMar>
        <w:tblLook w:val="0000"/>
      </w:tblPr>
      <w:tblGrid>
        <w:gridCol w:w="715"/>
        <w:gridCol w:w="2979"/>
        <w:gridCol w:w="1398"/>
        <w:gridCol w:w="4405"/>
      </w:tblGrid>
      <w:tr w:rsidTr="005C5B24">
        <w:tblPrEx>
          <w:tblW w:w="9497" w:type="dxa"/>
          <w:tblLayout w:type="fixed"/>
          <w:tblCellMar>
            <w:left w:w="62" w:type="dxa"/>
            <w:right w:w="62" w:type="dxa"/>
          </w:tblCellMar>
          <w:tblLook w:val="0000"/>
        </w:tblPrEx>
        <w:tc>
          <w:tcPr>
            <w:tcW w:w="3694" w:type="dxa"/>
            <w:gridSpan w:val="2"/>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ELEMENTS</w:t>
            </w:r>
          </w:p>
        </w:tc>
        <w:tc>
          <w:tcPr>
            <w:tcW w:w="5803" w:type="dxa"/>
            <w:gridSpan w:val="2"/>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PERFORMANCE CRITERIA</w:t>
            </w:r>
          </w:p>
        </w:tc>
      </w:tr>
      <w:tr w:rsidTr="005C5B24">
        <w:tblPrEx>
          <w:tblW w:w="9497" w:type="dxa"/>
          <w:tblLayout w:type="fixed"/>
          <w:tblCellMar>
            <w:left w:w="62" w:type="dxa"/>
            <w:right w:w="62" w:type="dxa"/>
          </w:tblCellMar>
          <w:tblLook w:val="0000"/>
        </w:tblPrEx>
        <w:tc>
          <w:tcPr>
            <w:tcW w:w="3694" w:type="dxa"/>
            <w:gridSpan w:val="2"/>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Elements describe the essential outcomes.</w:t>
            </w:r>
          </w:p>
        </w:tc>
        <w:tc>
          <w:tcPr>
            <w:tcW w:w="5803" w:type="dxa"/>
            <w:gridSpan w:val="2"/>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Performance criteria describe the performance needed to demonstrate achievement of the element.</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1</w:t>
            </w:r>
          </w:p>
        </w:tc>
        <w:tc>
          <w:tcPr>
            <w:tcW w:w="2979"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Plan the investigation</w:t>
            </w: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1.1</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 xml:space="preserve">Clarification of the incident investigation objectives is established in conjunction with relevant personnel in accordance with </w:t>
            </w:r>
            <w:r w:rsidRPr="005C5B24">
              <w:t>workplace and regulatory requirements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1.2</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Investigation timeframes and locations are established in conjunction with relevant</w:t>
            </w:r>
            <w:r w:rsidRPr="005C5B24">
              <w:t xml:space="preserve"> personnel that includes the investigation, draft report, recommendations and final report</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1.3</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 xml:space="preserve">Site parameters, operational work systems, equipment, management and site operating systems for investigating safety incidents are determined in accordance </w:t>
            </w:r>
            <w:r w:rsidRPr="005C5B24">
              <w:t>with the scope of investigation</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1.4</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Required investigation resources are identified and obtained in accordance with workplace procedures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2</w:t>
            </w:r>
          </w:p>
        </w:tc>
        <w:tc>
          <w:tcPr>
            <w:tcW w:w="2979"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Collect and analyse information</w:t>
            </w: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2.1</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Relevant available incident information is obtained and collated to facilitat</w:t>
            </w:r>
            <w:r w:rsidRPr="005C5B24">
              <w:t>e a detailed and accurate incident analysis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2.2</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Interviews are conducted with relevant personnel to establish their recollection of events associated with the incident</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2.3</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Information is analysed in accordance with the established investigation objectives, based on approved conditions, applicable rail network standards and operational guidelines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2.4</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 xml:space="preserve">Analysis criteria are identified to enable evaluation of the findings in </w:t>
            </w:r>
            <w:r w:rsidRPr="005C5B24">
              <w:t>accordance with the scope of investigation</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2.5</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Options that lead to recommendations that reduce future risk are identified and corrective actions generated in accordance with workplace and/or statutory requirements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3</w:t>
            </w:r>
          </w:p>
        </w:tc>
        <w:tc>
          <w:tcPr>
            <w:tcW w:w="2979"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Summarise and report on progress of</w:t>
            </w:r>
            <w:r w:rsidRPr="005C5B24">
              <w:rPr>
                <w:rStyle w:val="SpecialBold"/>
              </w:rPr>
              <w:t xml:space="preserve"> investigation</w:t>
            </w: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3.1</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Ongoing monitoring of the investigation, changes in direction and resource implications are recorded and reported</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3.2</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Progress, problems and resource usage are reviewed in accordance with the investigation scope</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3.3</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Progress reports and/or briefings are prepared and disseminated in accordance with workplace and/or statutory requirements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3.4</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Records and systems are secured and updated regularly in accordance with workplace and/or statutory requirements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4</w:t>
            </w:r>
          </w:p>
        </w:tc>
        <w:tc>
          <w:tcPr>
            <w:tcW w:w="2979"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Prepare re</w:t>
            </w:r>
            <w:r w:rsidRPr="005C5B24">
              <w:rPr>
                <w:rStyle w:val="SpecialBold"/>
              </w:rPr>
              <w:t>port</w:t>
            </w: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4.1</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Contributing factors are identified and recommendations are made that will enable a satisfactory resolution of the incident issues, and meet workplace and statutory requirements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4.2</w:t>
            </w:r>
          </w:p>
        </w:tc>
        <w:tc>
          <w:tcPr>
            <w:tcW w:w="4405"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Opportunities to enhance operational efficiency and safety pro</w:t>
            </w:r>
            <w:r w:rsidRPr="005C5B24">
              <w:t>cedures are documented in accordance with workplace reporting guidelines</w:t>
            </w:r>
          </w:p>
        </w:tc>
      </w:tr>
      <w:tr w:rsidTr="005C5B24">
        <w:tblPrEx>
          <w:tblW w:w="9497" w:type="dxa"/>
          <w:tblLayout w:type="fixed"/>
          <w:tblCellMar>
            <w:left w:w="62" w:type="dxa"/>
            <w:right w:w="62" w:type="dxa"/>
          </w:tblCellMar>
          <w:tblLook w:val="0000"/>
        </w:tblPrEx>
        <w:tc>
          <w:tcPr>
            <w:tcW w:w="7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979" w:type="dxa"/>
            <w:tcBorders>
              <w:top w:val="nil"/>
              <w:left w:val="nil"/>
              <w:bottom w:val="nil"/>
              <w:right w:val="nil"/>
            </w:tcBorders>
            <w:tcMar>
              <w:top w:w="0" w:type="dxa"/>
              <w:left w:w="62" w:type="dxa"/>
              <w:bottom w:w="0" w:type="dxa"/>
              <w:right w:w="62" w:type="dxa"/>
            </w:tcMar>
          </w:tcPr>
          <w:p w:rsidR="00000000" w:rsidRPr="005C5B24">
            <w:pPr>
              <w:pStyle w:val="BodyText"/>
              <w:keepLines w:val="0"/>
              <w:spacing w:before="0" w:after="0"/>
            </w:pPr>
          </w:p>
        </w:tc>
        <w:tc>
          <w:tcPr>
            <w:tcW w:w="1398"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rPr>
                <w:rStyle w:val="SpecialBold"/>
              </w:rPr>
              <w:t>4.3</w:t>
            </w:r>
          </w:p>
        </w:tc>
        <w:tc>
          <w:tcPr>
            <w:tcW w:w="4405"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Draft incident report is distributed to relevant stakeholders for validation in accordance with workplace and/or statutory requirements</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7" w:name="O_1240520"/>
      <w:bookmarkEnd w:id="7"/>
      <w:r w:rsidRPr="005C5B24">
        <w:t>Foundation Skills</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Foundation skills essential to performance are explicit in the performance criteria of this unit of competency.</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8" w:name="O_1240521"/>
      <w:bookmarkEnd w:id="8"/>
      <w:r w:rsidRPr="005C5B24">
        <w:t>Range of Conditions</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Range is restricted to essential operating conditions and any other variables essential to the work env</w:t>
            </w:r>
            <w:r w:rsidRPr="005C5B24">
              <w:t>ironment.</w:t>
            </w:r>
          </w:p>
          <w:p w:rsidR="00000000" w:rsidRPr="005C5B24" w:rsidP="005C5B24">
            <w:pPr>
              <w:pStyle w:val="BodyText"/>
            </w:pPr>
            <w:r w:rsidRPr="005C5B24">
              <w:t>Non-essential conditions can be found in the TLI Transport and Logistics Training Package Companion Volume Implementation Guide.</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9" w:name="O_1240522"/>
      <w:bookmarkEnd w:id="9"/>
      <w:r w:rsidRPr="005C5B24">
        <w:t>Unit Mapping Information</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This unit replaces but is not equivalent to TLIF5017 Investigate rail safety incidents.</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10" w:name="O_1240529"/>
      <w:bookmarkEnd w:id="10"/>
      <w:r w:rsidRPr="005C5B24">
        <w:t>Links</w:t>
      </w:r>
    </w:p>
    <w:p w:rsidR="00000000" w:rsidRPr="005C5B24" w:rsidP="00980B1B">
      <w:pPr>
        <w:pStyle w:val="BodyText"/>
      </w:pPr>
      <w:r w:rsidRPr="005C5B2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E094D">
        <w:rPr>
          <w:rStyle w:val="Hyperlink"/>
        </w:rPr>
        <w:t>https://vetnet.gov.au/Pages/TrainingDocs.aspx?q=df441c6e-213d-43e3-874c-0b3f7036d851</w:t>
      </w:r>
      <w:r>
        <w:fldChar w:fldCharType="end"/>
      </w:r>
    </w:p>
    <w:p w:rsidR="00000000" w:rsidRPr="005C5B24" w:rsidP="00980B1B">
      <w:pPr>
        <w:pStyle w:val="BodyText"/>
        <w:sectPr w:rsidSect="005C5B24">
          <w:headerReference w:type="default" r:id="rId10"/>
          <w:footerReference w:type="default" r:id="rId11"/>
          <w:pgSz w:w="11908" w:h="16833"/>
          <w:pgMar w:top="1702" w:right="1418" w:bottom="1702" w:left="1418" w:header="992" w:footer="992" w:gutter="0"/>
          <w:cols w:space="720"/>
          <w:noEndnote/>
          <w:docGrid w:linePitch="299"/>
        </w:sectPr>
      </w:pPr>
    </w:p>
    <w:p w:rsidR="00000000" w:rsidRPr="005C5B24" w:rsidP="005C5B24">
      <w:pPr>
        <w:pStyle w:val="SuperHeading"/>
      </w:pPr>
      <w:r w:rsidRPr="005C5B24">
        <w:t>Assessment Requirements for TLIF0045 Investigate rail safety incidents</w:t>
      </w:r>
    </w:p>
    <w:p w:rsidR="00000000" w:rsidRPr="005C5B24" w:rsidP="005C5B24">
      <w:pPr>
        <w:pStyle w:val="Heading1"/>
      </w:pPr>
      <w:bookmarkStart w:id="11" w:name="O_1240524"/>
      <w:bookmarkEnd w:id="11"/>
      <w:r w:rsidRPr="005C5B24">
        <w:t>Modification History</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rPr>
                <w:rStyle w:val="SpecialBold"/>
              </w:rPr>
              <w:t>Release 1</w:t>
            </w:r>
            <w:r w:rsidRPr="005C5B24">
              <w:t>. This is the first release of this unit of competency in the TLI Transport and Logis</w:t>
            </w:r>
            <w:r w:rsidRPr="005C5B24">
              <w:t>tics Training Package.</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12" w:name="O_1240525"/>
      <w:bookmarkEnd w:id="12"/>
      <w:r w:rsidRPr="005C5B24">
        <w:t>Performance Evidence</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Evidence required to demonstrate competence in this unit must be relevant to and satisfy all of the requirements of the elements and performance criteria on at least two separate incidents as</w:t>
            </w:r>
            <w:r w:rsidRPr="005C5B24">
              <w:t>sociated with railway operations and include:</w:t>
            </w:r>
          </w:p>
        </w:tc>
      </w:tr>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ListBullet"/>
            </w:pPr>
            <w:r w:rsidRPr="005C5B24">
              <w:t>analysing information in accordance with agreed scope of the investigation, applicable rail network standards and operational guidelines</w:t>
            </w:r>
          </w:p>
          <w:p w:rsidR="00000000" w:rsidRPr="005C5B24" w:rsidP="005C5B24">
            <w:pPr>
              <w:pStyle w:val="ListBullet"/>
            </w:pPr>
            <w:r w:rsidRPr="005C5B24">
              <w:t>applying precautions and required actions to minimise, control or eliminate hazards that may exist when investigating safety incidents</w:t>
            </w:r>
          </w:p>
          <w:p w:rsidR="00000000" w:rsidRPr="005C5B24" w:rsidP="005C5B24">
            <w:pPr>
              <w:pStyle w:val="ListBullet"/>
            </w:pPr>
            <w:r w:rsidRPr="005C5B24">
              <w:t>applying relevant rail network instructions, procedures and information to investigating safety incidents</w:t>
            </w:r>
          </w:p>
          <w:p w:rsidR="00000000" w:rsidRPr="005C5B24" w:rsidP="005C5B24">
            <w:pPr>
              <w:pStyle w:val="ListBullet"/>
            </w:pPr>
            <w:r w:rsidRPr="005C5B24">
              <w:t>applying releva</w:t>
            </w:r>
            <w:r w:rsidRPr="005C5B24">
              <w:t>nt legislation and workplace procedures</w:t>
            </w:r>
          </w:p>
          <w:p w:rsidR="00000000" w:rsidRPr="005C5B24" w:rsidP="005C5B24">
            <w:pPr>
              <w:pStyle w:val="ListBullet"/>
            </w:pPr>
            <w:r w:rsidRPr="005C5B24">
              <w:t>communicating effectively and working collaboratively with others when investigating safety incidents</w:t>
            </w:r>
          </w:p>
          <w:p w:rsidR="00000000" w:rsidRPr="005C5B24" w:rsidP="005C5B24">
            <w:pPr>
              <w:pStyle w:val="ListBullet"/>
            </w:pPr>
            <w:r w:rsidRPr="005C5B24">
              <w:t>completing documentation related to investigating rail safety incidents</w:t>
            </w:r>
          </w:p>
          <w:p w:rsidR="00000000" w:rsidRPr="005C5B24" w:rsidP="005C5B24">
            <w:pPr>
              <w:pStyle w:val="ListBullet"/>
            </w:pPr>
            <w:r w:rsidRPr="005C5B24">
              <w:t xml:space="preserve">developing recommendations and corrective </w:t>
            </w:r>
            <w:r w:rsidRPr="005C5B24">
              <w:t>actions to reduce future risk in accordance with workplace procedures</w:t>
            </w:r>
          </w:p>
          <w:p w:rsidR="00000000" w:rsidRPr="005C5B24" w:rsidP="005C5B24">
            <w:pPr>
              <w:pStyle w:val="ListBullet"/>
            </w:pPr>
            <w:r w:rsidRPr="005C5B24">
              <w:t>establishing agreed scope and methodologies of investigation with relevant personnel</w:t>
            </w:r>
          </w:p>
          <w:p w:rsidR="00000000" w:rsidRPr="005C5B24" w:rsidP="005C5B24">
            <w:pPr>
              <w:pStyle w:val="ListBullet"/>
            </w:pPr>
            <w:r w:rsidRPr="005C5B24">
              <w:t>establishing investigation timeframes and locations with relevant personnel</w:t>
            </w:r>
          </w:p>
          <w:p w:rsidR="00000000" w:rsidRPr="005C5B24" w:rsidP="005C5B24">
            <w:pPr>
              <w:pStyle w:val="ListBullet"/>
            </w:pPr>
            <w:r w:rsidRPr="005C5B24">
              <w:t>establishing the root cau</w:t>
            </w:r>
            <w:r w:rsidRPr="005C5B24">
              <w:t>se and contributing factors to the safety incident</w:t>
            </w:r>
          </w:p>
          <w:p w:rsidR="00000000" w:rsidRPr="005C5B24" w:rsidP="005C5B24">
            <w:pPr>
              <w:pStyle w:val="ListBullet"/>
            </w:pPr>
            <w:r w:rsidRPr="005C5B24">
              <w:t>interpreting and following operational instructions and prioritising work</w:t>
            </w:r>
          </w:p>
          <w:p w:rsidR="00000000" w:rsidRPr="005C5B24" w:rsidP="005C5B24">
            <w:pPr>
              <w:pStyle w:val="ListBullet"/>
            </w:pPr>
            <w:r w:rsidRPr="005C5B24">
              <w:t>monitoring work activities in terms of planned schedule and scope of investigation</w:t>
            </w:r>
          </w:p>
          <w:p w:rsidR="00000000" w:rsidRPr="005C5B24" w:rsidP="005C5B24">
            <w:pPr>
              <w:pStyle w:val="ListBullet"/>
            </w:pPr>
            <w:r w:rsidRPr="005C5B24">
              <w:t>preparing draft reports and recommendations incl</w:t>
            </w:r>
            <w:r w:rsidRPr="005C5B24">
              <w:t>uding relevant additional technical support and/or information</w:t>
            </w:r>
          </w:p>
          <w:p w:rsidR="00000000" w:rsidRPr="005C5B24" w:rsidP="005C5B24">
            <w:pPr>
              <w:pStyle w:val="ListBullet"/>
            </w:pPr>
            <w:r w:rsidRPr="005C5B24">
              <w:t>reporting on progress of rail safety incident investigation</w:t>
            </w:r>
          </w:p>
          <w:p w:rsidR="00000000" w:rsidRPr="005C5B24" w:rsidP="005C5B24">
            <w:pPr>
              <w:pStyle w:val="ListBullet"/>
            </w:pPr>
            <w:r w:rsidRPr="005C5B24">
              <w:t>working systematically with required attention to detail without injury to self or others.</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13" w:name="O_1240526"/>
      <w:bookmarkEnd w:id="13"/>
      <w:r w:rsidRPr="005C5B24">
        <w:t>Knowledge Evidence</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5B24">
            <w:pPr>
              <w:pStyle w:val="BodyText"/>
              <w:rPr>
                <w:lang w:val="en-NZ"/>
              </w:rPr>
            </w:pPr>
            <w:r w:rsidRPr="005C5B24">
              <w:t>Evidence required to demonstrate competence in this unit must be relevant to and satisfy all of the requirements of the elements and performance criteria and include knowledge of:</w:t>
            </w:r>
          </w:p>
        </w:tc>
      </w:tr>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ListBullet"/>
            </w:pPr>
            <w:r w:rsidRPr="005C5B24">
              <w:t>data collection and analysis techniques required when investigating safety</w:t>
            </w:r>
            <w:r w:rsidRPr="005C5B24">
              <w:t xml:space="preserve"> incidents</w:t>
            </w:r>
          </w:p>
          <w:p w:rsidR="00000000" w:rsidRPr="005C5B24" w:rsidP="005C5B24">
            <w:pPr>
              <w:pStyle w:val="ListBullet"/>
            </w:pPr>
            <w:r w:rsidRPr="005C5B24">
              <w:t>documentation and reporting requirements for investigating safety incidents</w:t>
            </w:r>
          </w:p>
          <w:p w:rsidR="00000000" w:rsidRPr="005C5B24" w:rsidP="005C5B24">
            <w:pPr>
              <w:pStyle w:val="ListBullet"/>
            </w:pPr>
            <w:r w:rsidRPr="005C5B24">
              <w:t>notifiable occurrences reporting requirements prescribed by rail safety regulations</w:t>
            </w:r>
          </w:p>
          <w:p w:rsidR="00000000" w:rsidRPr="005C5B24" w:rsidP="005C5B24">
            <w:pPr>
              <w:pStyle w:val="ListBullet"/>
            </w:pPr>
            <w:r w:rsidRPr="005C5B24">
              <w:t>operational work systems, equipment, management and site operating systems for invest</w:t>
            </w:r>
            <w:r w:rsidRPr="005C5B24">
              <w:t>igating safety incidents</w:t>
            </w:r>
          </w:p>
          <w:p w:rsidR="00000000" w:rsidRPr="005C5B24" w:rsidP="005C5B24">
            <w:pPr>
              <w:pStyle w:val="ListBullet"/>
            </w:pPr>
            <w:r w:rsidRPr="005C5B24">
              <w:t>problems that may occur when investigating safety incidents and appropriate actions that can be taken to resolve these problems</w:t>
            </w:r>
          </w:p>
          <w:p w:rsidR="00000000" w:rsidRPr="005C5B24" w:rsidP="005C5B24">
            <w:pPr>
              <w:pStyle w:val="ListBullet"/>
            </w:pPr>
            <w:r w:rsidRPr="005C5B24">
              <w:t>root cause analysis techniques/tools</w:t>
            </w:r>
          </w:p>
          <w:p w:rsidR="00000000" w:rsidRPr="005C5B24" w:rsidP="005C5B24">
            <w:pPr>
              <w:pStyle w:val="ListBullet"/>
            </w:pPr>
            <w:r w:rsidRPr="005C5B24">
              <w:t>scope of investigation</w:t>
            </w:r>
          </w:p>
          <w:p w:rsidR="00000000" w:rsidRPr="005C5B24" w:rsidP="005C5B24">
            <w:pPr>
              <w:pStyle w:val="ListBullet"/>
            </w:pPr>
            <w:r w:rsidRPr="005C5B24">
              <w:t>state/territory rail safety legislation, co</w:t>
            </w:r>
            <w:r w:rsidRPr="005C5B24">
              <w:t>des of practice, rail network standards and/or guidelines</w:t>
            </w:r>
          </w:p>
          <w:p w:rsidR="00000000" w:rsidRPr="005C5B24" w:rsidP="005C5B24">
            <w:pPr>
              <w:pStyle w:val="ListBullet"/>
            </w:pPr>
            <w:r w:rsidRPr="005C5B24">
              <w:t>workplace procedures and policies for the investigation of safety incidents associated with railway operations.</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14" w:name="O_1240527"/>
      <w:bookmarkEnd w:id="14"/>
      <w:r w:rsidRPr="005C5B24">
        <w:t>Assessment Conditions</w:t>
      </w:r>
    </w:p>
    <w:tbl>
      <w:tblPr>
        <w:tblW w:w="9497" w:type="dxa"/>
        <w:tblLayout w:type="fixed"/>
        <w:tblCellMar>
          <w:left w:w="62" w:type="dxa"/>
          <w:right w:w="62" w:type="dxa"/>
        </w:tblCellMar>
        <w:tblLook w:val="0000"/>
      </w:tblPr>
      <w:tblGrid>
        <w:gridCol w:w="9497"/>
      </w:tblGrid>
      <w:tr w:rsidTr="005C5B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B24" w:rsidP="005C5B24">
            <w:pPr>
              <w:pStyle w:val="BodyText"/>
            </w:pPr>
            <w:r w:rsidRPr="005C5B24">
              <w:t xml:space="preserve">Assessors must hold credentials specified within the Standards for Registered Training Organisations current at the time of assessment. </w:t>
            </w:r>
          </w:p>
          <w:p w:rsidR="00000000" w:rsidRPr="005C5B24" w:rsidP="005C5B24">
            <w:pPr>
              <w:pStyle w:val="BodyText"/>
            </w:pPr>
            <w:r w:rsidRPr="005C5B24">
              <w:t>Assessment must satisfy the Principles of Assessment and Rules of Evidence and all regulatory requirements included wit</w:t>
            </w:r>
            <w:r w:rsidRPr="005C5B24">
              <w:t>hin the Standards for Registered Training Organisations current at the time of assessment.</w:t>
            </w:r>
          </w:p>
          <w:p w:rsidR="00000000" w:rsidRPr="005C5B24" w:rsidP="005C5B24">
            <w:pPr>
              <w:pStyle w:val="BodyText"/>
            </w:pPr>
            <w:r w:rsidRPr="005C5B24">
              <w:t>Assessment must occur in workplace operational situations where it is appropriate to do so; where this is not appropriate, assessment must occur in simulated workpla</w:t>
            </w:r>
            <w:r w:rsidRPr="005C5B24">
              <w:t>ce operational situations that replicate workplace conditions.</w:t>
            </w:r>
          </w:p>
          <w:p w:rsidR="00000000" w:rsidRPr="005C5B24" w:rsidP="005C5B24">
            <w:pPr>
              <w:pStyle w:val="BodyText"/>
            </w:pPr>
            <w:r w:rsidRPr="005C5B24">
              <w:t>Assessment processes and techniques must be appropriate to the language, literacy and numeracy requirements of the work being performed and the needs of the candidate.</w:t>
            </w:r>
          </w:p>
          <w:p w:rsidR="00000000" w:rsidRPr="005C5B24" w:rsidP="005C5B24">
            <w:pPr>
              <w:pStyle w:val="BodyText"/>
            </w:pPr>
            <w:r w:rsidRPr="005C5B24">
              <w:t xml:space="preserve">Resources for assessment </w:t>
            </w:r>
            <w:r w:rsidRPr="005C5B24">
              <w:t>must include access to:</w:t>
            </w:r>
          </w:p>
          <w:p w:rsidR="00000000" w:rsidRPr="005C5B24" w:rsidP="005C5B24">
            <w:pPr>
              <w:pStyle w:val="ListBullet"/>
            </w:pPr>
            <w:r w:rsidRPr="005C5B24">
              <w:t>a range of relevant exercises, case studies and/or other simulations</w:t>
            </w:r>
          </w:p>
          <w:p w:rsidR="00000000" w:rsidRPr="005C5B24" w:rsidP="005C5B24">
            <w:pPr>
              <w:pStyle w:val="ListBullet"/>
            </w:pPr>
            <w:r w:rsidRPr="005C5B24">
              <w:t>applicable documentation including workplace procedures, safety management system, regulations, codes of practice and operation manuals</w:t>
            </w:r>
          </w:p>
          <w:p w:rsidR="00000000" w:rsidRPr="005C5B24" w:rsidP="005C5B24">
            <w:pPr>
              <w:pStyle w:val="ListBullet"/>
            </w:pPr>
            <w:r w:rsidRPr="005C5B24">
              <w:t>relevant and appropriate m</w:t>
            </w:r>
            <w:r w:rsidRPr="005C5B24">
              <w:t>aterials, tools, equipment and personal protective equipment (PPE) currently used in industry.</w:t>
            </w:r>
          </w:p>
        </w:tc>
      </w:tr>
    </w:tbl>
    <w:p w:rsidR="00000000" w:rsidRPr="005C5B24" w:rsidP="005C5B24">
      <w:pPr>
        <w:pStyle w:val="NoPaddingFontSize1"/>
      </w:pPr>
    </w:p>
    <w:p w:rsidR="00000000" w:rsidRPr="005C5B24" w:rsidP="005C5B24">
      <w:pPr>
        <w:pStyle w:val="AllowPageBreak"/>
      </w:pPr>
    </w:p>
    <w:p w:rsidR="00000000" w:rsidRPr="005C5B24" w:rsidP="005C5B24">
      <w:pPr>
        <w:pStyle w:val="Heading1"/>
      </w:pPr>
      <w:bookmarkStart w:id="15" w:name="O_1240530"/>
      <w:bookmarkEnd w:id="15"/>
      <w:r w:rsidRPr="005C5B24">
        <w:t>Links</w:t>
      </w:r>
    </w:p>
    <w:p w:rsidR="00000000" w:rsidRPr="005C5B24" w:rsidP="00980B1B">
      <w:pPr>
        <w:pStyle w:val="BodyText"/>
      </w:pPr>
      <w:r w:rsidRPr="005C5B2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E094D">
        <w:rPr>
          <w:rStyle w:val="Hyperlink"/>
        </w:rPr>
        <w:t>https://vetnet.gov.au/Pages/TrainingDocs.aspx?q=df441c6e-213d-43e3-874c-0b3f7036d851</w:t>
      </w:r>
      <w:r>
        <w:fldChar w:fldCharType="end"/>
      </w:r>
    </w:p>
    <w:p w:rsidR="00000000" w:rsidRPr="005C5B24" w:rsidP="005C5B24"/>
    <w:sectPr w:rsidSect="005C5B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4" w:rsidRPr="00980B1B" w:rsidP="00980B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1B" w:rsidP="005C5B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B1B" w:rsidP="005C5B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80B1B" w:rsidP="005C5B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4" w:rsidP="005C5B24">
    <w:pPr>
      <w:pStyle w:val="Footer"/>
      <w:framePr w:wrap="around"/>
    </w:pPr>
    <w:r>
      <w:fldChar w:fldCharType="begin"/>
    </w:r>
    <w:r>
      <w:instrText xml:space="preserve"> DOCPROPERTY  Subject  \* MERGEFORMAT </w:instrText>
    </w:r>
    <w:r>
      <w:fldChar w:fldCharType="separate"/>
    </w:r>
    <w:r w:rsidR="00980B1B">
      <w:t>Approved</w:t>
    </w:r>
    <w:r w:rsidR="00980B1B">
      <w:fldChar w:fldCharType="end"/>
    </w:r>
    <w:r>
      <w:tab/>
      <w:t xml:space="preserve">Page </w:t>
    </w:r>
    <w:r>
      <w:fldChar w:fldCharType="begin"/>
    </w:r>
    <w:r>
      <w:instrText xml:space="preserve"> PAGE  \* Arabic  \* MERGEFORMAT </w:instrText>
    </w:r>
    <w:r>
      <w:fldChar w:fldCharType="separate"/>
    </w:r>
    <w:r w:rsidR="00980B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B1B">
      <w:rPr>
        <w:noProof/>
      </w:rPr>
      <w:t>4</w:t>
    </w:r>
    <w:r>
      <w:rPr>
        <w:noProof/>
      </w:rPr>
      <w:fldChar w:fldCharType="end"/>
    </w:r>
  </w:p>
  <w:p w:rsidR="005C5B24" w:rsidP="005C5B24">
    <w:pPr>
      <w:pStyle w:val="Footer"/>
      <w:framePr w:wrap="around"/>
    </w:pPr>
    <w:r>
      <w:t xml:space="preserve">© Commonwealth of Australia, </w:t>
    </w:r>
    <w:r>
      <w:fldChar w:fldCharType="begin"/>
    </w:r>
    <w:r>
      <w:instrText xml:space="preserve"> DATE  \@ "yyyy"  \* MERGEFORMAT </w:instrText>
    </w:r>
    <w:r>
      <w:fldChar w:fldCharType="separate"/>
    </w:r>
    <w:r w:rsidR="00980B1B">
      <w:rPr>
        <w:noProof/>
      </w:rPr>
      <w:t>2025</w:t>
    </w:r>
    <w:r>
      <w:fldChar w:fldCharType="end"/>
    </w:r>
    <w:r>
      <w:tab/>
    </w:r>
    <w:r>
      <w:fldChar w:fldCharType="begin"/>
    </w:r>
    <w:r>
      <w:instrText xml:space="preserve"> DOCPROPERTY  Author  \* MERGEFORMAT </w:instrText>
    </w:r>
    <w:r>
      <w:fldChar w:fldCharType="separate"/>
    </w:r>
    <w:r w:rsidR="00980B1B">
      <w:t>Industry Skills Australia</w:t>
    </w:r>
    <w:r w:rsidR="00980B1B">
      <w:fldChar w:fldCharType="end"/>
    </w:r>
  </w:p>
  <w:p w:rsidR="005C5B24" w:rsidP="005C5B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B24" w:rsidRPr="00980B1B" w:rsidP="00980B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B1B" w:rsidRPr="002D2AF8" w:rsidP="005C5B24">
    <w:pPr>
      <w:pStyle w:val="Header"/>
      <w:framePr w:wrap="around"/>
    </w:pPr>
    <w:r>
      <w:fldChar w:fldCharType="begin"/>
    </w:r>
    <w:r>
      <w:instrText xml:space="preserve"> TITLE   \* MERGEFORMAT </w:instrText>
    </w:r>
    <w:r>
      <w:fldChar w:fldCharType="separate"/>
    </w:r>
    <w:r>
      <w:t>TLIF0045 Investigate rail safety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0B1B" w:rsidP="005C5B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B24" w:rsidRPr="002D2AF8" w:rsidP="005C5B24">
    <w:pPr>
      <w:pStyle w:val="Header"/>
      <w:framePr w:wrap="around"/>
    </w:pPr>
    <w:r>
      <w:fldChar w:fldCharType="begin"/>
    </w:r>
    <w:r>
      <w:instrText xml:space="preserve"> TITLE   \* MERGEFORMAT </w:instrText>
    </w:r>
    <w:r>
      <w:fldChar w:fldCharType="separate"/>
    </w:r>
    <w:r w:rsidR="00980B1B">
      <w:t>TLIF0045 Investigate rail safety incidents</w:t>
    </w:r>
    <w:r w:rsidR="00980B1B">
      <w:fldChar w:fldCharType="end"/>
    </w:r>
    <w:r>
      <w:tab/>
      <w:t xml:space="preserve">Date this document was generated: </w:t>
    </w:r>
    <w:r>
      <w:fldChar w:fldCharType="begin"/>
    </w:r>
    <w:r>
      <w:instrText xml:space="preserve"> CREATEDATE  \@ "d MMMM yyyy"  \* MERGEFORMAT </w:instrText>
    </w:r>
    <w:r>
      <w:fldChar w:fldCharType="separate"/>
    </w:r>
    <w:r w:rsidR="00980B1B">
      <w:rPr>
        <w:noProof/>
      </w:rPr>
      <w:t>2 March 2025</w:t>
    </w:r>
    <w:r>
      <w:fldChar w:fldCharType="end"/>
    </w:r>
  </w:p>
  <w:p w:rsidR="005C5B24" w:rsidP="005C5B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283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5492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B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B24"/>
    <w:pPr>
      <w:spacing w:before="360" w:after="60"/>
      <w:outlineLvl w:val="0"/>
    </w:pPr>
    <w:rPr>
      <w:sz w:val="32"/>
    </w:rPr>
  </w:style>
  <w:style w:type="paragraph" w:styleId="Heading2">
    <w:name w:val="heading 2"/>
    <w:basedOn w:val="HeadingBase"/>
    <w:next w:val="BodyText"/>
    <w:link w:val="Heading2Char"/>
    <w:qFormat/>
    <w:rsid w:val="005C5B24"/>
    <w:pPr>
      <w:keepLines/>
      <w:spacing w:before="240" w:after="120"/>
      <w:outlineLvl w:val="1"/>
    </w:pPr>
    <w:rPr>
      <w:sz w:val="28"/>
      <w:szCs w:val="40"/>
    </w:rPr>
  </w:style>
  <w:style w:type="paragraph" w:styleId="Heading3">
    <w:name w:val="heading 3"/>
    <w:basedOn w:val="HeadingBase"/>
    <w:next w:val="BodyText"/>
    <w:link w:val="Heading3Char"/>
    <w:qFormat/>
    <w:rsid w:val="005C5B24"/>
    <w:pPr>
      <w:spacing w:before="180" w:after="120"/>
      <w:outlineLvl w:val="2"/>
    </w:pPr>
    <w:rPr>
      <w:spacing w:val="-10"/>
      <w:kern w:val="32"/>
    </w:rPr>
  </w:style>
  <w:style w:type="paragraph" w:styleId="Heading4">
    <w:name w:val="heading 4"/>
    <w:basedOn w:val="HeadingBase"/>
    <w:next w:val="BodyText"/>
    <w:link w:val="Heading4Char"/>
    <w:qFormat/>
    <w:rsid w:val="005C5B24"/>
    <w:pPr>
      <w:spacing w:before="160" w:after="120"/>
      <w:outlineLvl w:val="3"/>
    </w:pPr>
    <w:rPr>
      <w:sz w:val="22"/>
    </w:rPr>
  </w:style>
  <w:style w:type="paragraph" w:styleId="Heading5">
    <w:name w:val="heading 5"/>
    <w:basedOn w:val="HeadingBase"/>
    <w:next w:val="Normal"/>
    <w:link w:val="Heading5Char"/>
    <w:qFormat/>
    <w:rsid w:val="005C5B24"/>
    <w:pPr>
      <w:spacing w:before="80"/>
      <w:outlineLvl w:val="4"/>
    </w:pPr>
    <w:rPr>
      <w:color w:val="918585"/>
      <w:sz w:val="20"/>
    </w:rPr>
  </w:style>
  <w:style w:type="paragraph" w:styleId="Heading6">
    <w:name w:val="heading 6"/>
    <w:basedOn w:val="HeadingBase"/>
    <w:next w:val="Normal"/>
    <w:link w:val="Heading6Char"/>
    <w:qFormat/>
    <w:rsid w:val="005C5B24"/>
    <w:pPr>
      <w:spacing w:before="60"/>
      <w:outlineLvl w:val="5"/>
    </w:pPr>
    <w:rPr>
      <w:color w:val="918585"/>
      <w:sz w:val="20"/>
    </w:rPr>
  </w:style>
  <w:style w:type="paragraph" w:styleId="Heading7">
    <w:name w:val="heading 7"/>
    <w:basedOn w:val="Normal"/>
    <w:next w:val="Normal"/>
    <w:link w:val="Heading7Char"/>
    <w:qFormat/>
    <w:rsid w:val="005C5B24"/>
    <w:pPr>
      <w:ind w:left="720"/>
      <w:outlineLvl w:val="6"/>
    </w:pPr>
    <w:rPr>
      <w:i/>
    </w:rPr>
  </w:style>
  <w:style w:type="paragraph" w:styleId="Heading8">
    <w:name w:val="heading 8"/>
    <w:basedOn w:val="Normal"/>
    <w:next w:val="Normal"/>
    <w:link w:val="Heading8Char"/>
    <w:qFormat/>
    <w:rsid w:val="005C5B24"/>
    <w:pPr>
      <w:ind w:left="720"/>
      <w:outlineLvl w:val="7"/>
    </w:pPr>
    <w:rPr>
      <w:i/>
    </w:rPr>
  </w:style>
  <w:style w:type="paragraph" w:styleId="Heading9">
    <w:name w:val="heading 9"/>
    <w:basedOn w:val="Normal"/>
    <w:next w:val="Normal"/>
    <w:link w:val="Heading9Char"/>
    <w:qFormat/>
    <w:rsid w:val="005C5B24"/>
    <w:pPr>
      <w:ind w:left="720"/>
      <w:outlineLvl w:val="8"/>
    </w:pPr>
    <w:rPr>
      <w:i/>
    </w:rPr>
  </w:style>
  <w:style w:type="character" w:default="1" w:styleId="DefaultParagraphFont">
    <w:name w:val="Default Paragraph Font"/>
    <w:uiPriority w:val="1"/>
    <w:unhideWhenUsed/>
    <w:rsid w:val="005C5B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B24"/>
  </w:style>
  <w:style w:type="character" w:customStyle="1" w:styleId="Heading1Char">
    <w:name w:val="Heading 1 Char"/>
    <w:basedOn w:val="DefaultParagraphFont"/>
    <w:link w:val="Heading1"/>
    <w:rsid w:val="005C5B24"/>
    <w:rPr>
      <w:rFonts w:ascii="Times New Roman" w:eastAsia="Times New Roman" w:hAnsi="Times New Roman" w:cs="Times New Roman"/>
      <w:b/>
      <w:sz w:val="32"/>
      <w:szCs w:val="20"/>
      <w:lang w:eastAsia="en-US"/>
    </w:rPr>
  </w:style>
  <w:style w:type="paragraph" w:styleId="BodyText">
    <w:name w:val="Body Text"/>
    <w:basedOn w:val="Normal"/>
    <w:link w:val="BodyTextChar"/>
    <w:rsid w:val="005C5B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B24"/>
    <w:rPr>
      <w:rFonts w:ascii="Times New Roman" w:eastAsia="Times New Roman" w:hAnsi="Times New Roman" w:cs="Times New Roman"/>
      <w:sz w:val="24"/>
      <w:lang w:eastAsia="en-US"/>
    </w:rPr>
  </w:style>
  <w:style w:type="paragraph" w:styleId="ListBullet">
    <w:name w:val="List Bullet"/>
    <w:basedOn w:val="List"/>
    <w:rsid w:val="005C5B24"/>
    <w:pPr>
      <w:numPr>
        <w:numId w:val="11"/>
      </w:numPr>
      <w:tabs>
        <w:tab w:val="clear" w:pos="340"/>
      </w:tabs>
      <w:spacing w:before="40" w:after="40"/>
    </w:pPr>
  </w:style>
  <w:style w:type="character" w:customStyle="1" w:styleId="SpecialBold">
    <w:name w:val="Special Bold"/>
    <w:basedOn w:val="DefaultParagraphFont"/>
    <w:rsid w:val="005C5B24"/>
    <w:rPr>
      <w:b/>
      <w:spacing w:val="0"/>
    </w:rPr>
  </w:style>
  <w:style w:type="paragraph" w:customStyle="1" w:styleId="SuperHeading">
    <w:name w:val="SuperHeading"/>
    <w:basedOn w:val="Normal"/>
    <w:rsid w:val="005C5B24"/>
    <w:pPr>
      <w:spacing w:before="240" w:after="120"/>
      <w:outlineLvl w:val="0"/>
    </w:pPr>
    <w:rPr>
      <w:rFonts w:ascii="Times New Roman" w:hAnsi="Times New Roman"/>
      <w:b/>
      <w:sz w:val="32"/>
    </w:rPr>
  </w:style>
  <w:style w:type="paragraph" w:customStyle="1" w:styleId="AllowPageBreak">
    <w:name w:val="AllowPageBreak"/>
    <w:rsid w:val="005C5B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5B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B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B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B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B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B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B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B24"/>
    <w:rPr>
      <w:rFonts w:ascii="Courier New" w:eastAsia="Times New Roman" w:hAnsi="Courier New" w:cs="Times New Roman"/>
      <w:i/>
      <w:szCs w:val="20"/>
      <w:lang w:eastAsia="en-US"/>
    </w:rPr>
  </w:style>
  <w:style w:type="paragraph" w:customStyle="1" w:styleId="HeadingBase">
    <w:name w:val="Heading Base"/>
    <w:rsid w:val="005C5B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B24"/>
    <w:pPr>
      <w:tabs>
        <w:tab w:val="right" w:leader="dot" w:pos="9072"/>
      </w:tabs>
      <w:ind w:left="567"/>
    </w:pPr>
    <w:rPr>
      <w:szCs w:val="22"/>
    </w:rPr>
  </w:style>
  <w:style w:type="paragraph" w:customStyle="1" w:styleId="TOCBase">
    <w:name w:val="TOC Base"/>
    <w:rsid w:val="005C5B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B24"/>
    <w:pPr>
      <w:tabs>
        <w:tab w:val="right" w:leader="dot" w:pos="9072"/>
      </w:tabs>
      <w:spacing w:before="40" w:after="40"/>
      <w:ind w:left="284"/>
    </w:pPr>
    <w:rPr>
      <w:rFonts w:ascii="Times New Roman" w:hAnsi="Times New Roman"/>
    </w:rPr>
  </w:style>
  <w:style w:type="paragraph" w:styleId="TOC1">
    <w:name w:val="toc 1"/>
    <w:basedOn w:val="TOCBase"/>
    <w:next w:val="Normal"/>
    <w:rsid w:val="005C5B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B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B24"/>
    <w:rPr>
      <w:rFonts w:ascii="Times New Roman" w:eastAsia="Times New Roman" w:hAnsi="Times New Roman" w:cs="Times New Roman"/>
      <w:sz w:val="16"/>
      <w:lang w:eastAsia="en-US"/>
    </w:rPr>
  </w:style>
  <w:style w:type="paragraph" w:styleId="Title">
    <w:name w:val="Title"/>
    <w:basedOn w:val="HeadingBase"/>
    <w:link w:val="TitleChar"/>
    <w:qFormat/>
    <w:rsid w:val="005C5B24"/>
    <w:pPr>
      <w:spacing w:before="5040"/>
      <w:jc w:val="center"/>
    </w:pPr>
    <w:rPr>
      <w:sz w:val="48"/>
      <w:szCs w:val="72"/>
      <w:lang w:val="en-US"/>
    </w:rPr>
  </w:style>
  <w:style w:type="character" w:customStyle="1" w:styleId="TitleChar">
    <w:name w:val="Title Char"/>
    <w:basedOn w:val="DefaultParagraphFont"/>
    <w:link w:val="Title"/>
    <w:rsid w:val="005C5B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B24"/>
    <w:pPr>
      <w:tabs>
        <w:tab w:val="left" w:pos="3600"/>
        <w:tab w:val="left" w:pos="3958"/>
      </w:tabs>
    </w:pPr>
  </w:style>
  <w:style w:type="paragraph" w:styleId="List">
    <w:name w:val="List"/>
    <w:basedOn w:val="BodyText"/>
    <w:next w:val="BodyText"/>
    <w:rsid w:val="005C5B24"/>
    <w:pPr>
      <w:tabs>
        <w:tab w:val="left" w:pos="340"/>
      </w:tabs>
      <w:spacing w:before="60" w:after="60"/>
      <w:ind w:left="340" w:hanging="340"/>
    </w:pPr>
  </w:style>
  <w:style w:type="paragraph" w:customStyle="1" w:styleId="Note">
    <w:name w:val="Note"/>
    <w:basedOn w:val="BodyText"/>
    <w:rsid w:val="005C5B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B24"/>
    <w:pPr>
      <w:framePr w:wrap="auto" w:hAnchor="text" w:y="6049"/>
    </w:pPr>
    <w:rPr>
      <w:color w:val="000000"/>
      <w:sz w:val="40"/>
    </w:rPr>
  </w:style>
  <w:style w:type="paragraph" w:customStyle="1" w:styleId="TOCTitle">
    <w:name w:val="TOCTitle"/>
    <w:basedOn w:val="Heading1"/>
    <w:rsid w:val="005C5B24"/>
    <w:pPr>
      <w:spacing w:after="240"/>
      <w:jc w:val="center"/>
      <w:outlineLvl w:val="9"/>
    </w:pPr>
    <w:rPr>
      <w:caps/>
    </w:rPr>
  </w:style>
  <w:style w:type="paragraph" w:customStyle="1" w:styleId="Version">
    <w:name w:val="Version"/>
    <w:rsid w:val="005C5B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B24"/>
    <w:pPr>
      <w:numPr>
        <w:numId w:val="12"/>
      </w:numPr>
      <w:tabs>
        <w:tab w:val="clear" w:pos="680"/>
      </w:tabs>
    </w:pPr>
  </w:style>
  <w:style w:type="paragraph" w:styleId="Index1">
    <w:name w:val="index 1"/>
    <w:basedOn w:val="Normal"/>
    <w:next w:val="Normal"/>
    <w:semiHidden/>
    <w:rsid w:val="005C5B24"/>
    <w:pPr>
      <w:keepNext w:val="0"/>
      <w:tabs>
        <w:tab w:val="right" w:pos="4176"/>
      </w:tabs>
      <w:ind w:left="198" w:hanging="198"/>
    </w:pPr>
    <w:rPr>
      <w:rFonts w:ascii="Garamond" w:hAnsi="Garamond"/>
    </w:rPr>
  </w:style>
  <w:style w:type="paragraph" w:styleId="IndexHeading">
    <w:name w:val="index heading"/>
    <w:basedOn w:val="Normal"/>
    <w:next w:val="Index1"/>
    <w:semiHidden/>
    <w:rsid w:val="005C5B24"/>
    <w:pPr>
      <w:spacing w:before="120" w:after="120"/>
    </w:pPr>
    <w:rPr>
      <w:rFonts w:ascii="Arial" w:hAnsi="Arial"/>
      <w:b/>
      <w:color w:val="918585"/>
      <w:sz w:val="24"/>
    </w:rPr>
  </w:style>
  <w:style w:type="paragraph" w:styleId="Header">
    <w:name w:val="header"/>
    <w:basedOn w:val="Normal"/>
    <w:link w:val="HeaderChar"/>
    <w:rsid w:val="005C5B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B24"/>
    <w:rPr>
      <w:rFonts w:ascii="Times New Roman" w:eastAsia="Times New Roman" w:hAnsi="Times New Roman" w:cs="Times New Roman"/>
      <w:sz w:val="16"/>
      <w:szCs w:val="20"/>
      <w:lang w:val="en-GB" w:eastAsia="en-US"/>
    </w:rPr>
  </w:style>
  <w:style w:type="paragraph" w:customStyle="1" w:styleId="Chapter">
    <w:name w:val="Chapter"/>
    <w:basedOn w:val="Normal"/>
    <w:rsid w:val="005C5B24"/>
    <w:pPr>
      <w:spacing w:before="240"/>
    </w:pPr>
    <w:rPr>
      <w:rFonts w:ascii="Times New Roman" w:hAnsi="Times New Roman"/>
      <w:smallCaps/>
      <w:spacing w:val="80"/>
      <w:sz w:val="28"/>
    </w:rPr>
  </w:style>
  <w:style w:type="paragraph" w:customStyle="1" w:styleId="InChapter">
    <w:name w:val="InChapter"/>
    <w:basedOn w:val="Heading3"/>
    <w:rsid w:val="005C5B24"/>
    <w:pPr>
      <w:spacing w:after="240"/>
      <w:outlineLvl w:val="9"/>
    </w:pPr>
    <w:rPr>
      <w:noProof/>
    </w:rPr>
  </w:style>
  <w:style w:type="paragraph" w:styleId="Index2">
    <w:name w:val="index 2"/>
    <w:basedOn w:val="Normal"/>
    <w:next w:val="Normal"/>
    <w:semiHidden/>
    <w:rsid w:val="005C5B24"/>
    <w:pPr>
      <w:tabs>
        <w:tab w:val="right" w:pos="4176"/>
      </w:tabs>
      <w:ind w:left="568" w:hanging="284"/>
    </w:pPr>
    <w:rPr>
      <w:rFonts w:ascii="Garamond" w:hAnsi="Garamond"/>
    </w:rPr>
  </w:style>
  <w:style w:type="paragraph" w:customStyle="1" w:styleId="Byline">
    <w:name w:val="Byline"/>
    <w:rsid w:val="005C5B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B24"/>
    <w:pPr>
      <w:tabs>
        <w:tab w:val="clear" w:pos="3600"/>
        <w:tab w:val="clear" w:pos="3958"/>
      </w:tabs>
      <w:jc w:val="right"/>
    </w:pPr>
  </w:style>
  <w:style w:type="character" w:styleId="Emphasis">
    <w:name w:val="Emphasis"/>
    <w:basedOn w:val="DefaultParagraphFont"/>
    <w:qFormat/>
    <w:rsid w:val="005C5B24"/>
    <w:rPr>
      <w:i/>
    </w:rPr>
  </w:style>
  <w:style w:type="paragraph" w:styleId="Caption">
    <w:name w:val="caption"/>
    <w:basedOn w:val="BodyText"/>
    <w:next w:val="Normal"/>
    <w:qFormat/>
    <w:rsid w:val="005C5B24"/>
    <w:pPr>
      <w:framePr w:w="2268" w:hSpace="181" w:vSpace="181" w:wrap="around" w:vAnchor="text" w:hAnchor="page" w:x="1135" w:y="285" w:anchorLock="1"/>
    </w:pPr>
    <w:rPr>
      <w:i/>
    </w:rPr>
  </w:style>
  <w:style w:type="paragraph" w:customStyle="1" w:styleId="MiniTOCTitle">
    <w:name w:val="MiniTOCTitle"/>
    <w:basedOn w:val="Heading4"/>
    <w:rsid w:val="005C5B24"/>
    <w:pPr>
      <w:spacing w:before="240"/>
      <w:outlineLvl w:val="9"/>
    </w:pPr>
    <w:rPr>
      <w:noProof/>
      <w:sz w:val="24"/>
    </w:rPr>
  </w:style>
  <w:style w:type="paragraph" w:customStyle="1" w:styleId="MiniTOCItem">
    <w:name w:val="MiniTOCItem"/>
    <w:basedOn w:val="ListBullet"/>
    <w:rsid w:val="005C5B24"/>
    <w:pPr>
      <w:numPr>
        <w:numId w:val="0"/>
      </w:numPr>
      <w:tabs>
        <w:tab w:val="right" w:leader="dot" w:pos="6521"/>
      </w:tabs>
      <w:spacing w:before="0" w:after="0"/>
    </w:pPr>
  </w:style>
  <w:style w:type="paragraph" w:customStyle="1" w:styleId="TOFTitle">
    <w:name w:val="TOFTitle"/>
    <w:basedOn w:val="TOCTitle"/>
    <w:rsid w:val="005C5B24"/>
  </w:style>
  <w:style w:type="paragraph" w:styleId="TableofFigures">
    <w:name w:val="table of figures"/>
    <w:basedOn w:val="Normal"/>
    <w:next w:val="Normal"/>
    <w:semiHidden/>
    <w:rsid w:val="005C5B24"/>
    <w:pPr>
      <w:tabs>
        <w:tab w:val="right" w:leader="dot" w:pos="9072"/>
      </w:tabs>
      <w:ind w:left="970" w:hanging="403"/>
    </w:pPr>
    <w:rPr>
      <w:rFonts w:ascii="Times New Roman" w:hAnsi="Times New Roman"/>
      <w:b/>
    </w:rPr>
  </w:style>
  <w:style w:type="paragraph" w:styleId="ListNumber">
    <w:name w:val="List Number"/>
    <w:basedOn w:val="List"/>
    <w:rsid w:val="005C5B24"/>
    <w:pPr>
      <w:numPr>
        <w:numId w:val="14"/>
      </w:numPr>
      <w:tabs>
        <w:tab w:val="clear" w:pos="340"/>
      </w:tabs>
    </w:pPr>
  </w:style>
  <w:style w:type="character" w:customStyle="1" w:styleId="WingdingSymbols">
    <w:name w:val="Wingding Symbols"/>
    <w:rsid w:val="005C5B24"/>
    <w:rPr>
      <w:rFonts w:ascii="Wingdings" w:hAnsi="Wingdings"/>
    </w:rPr>
  </w:style>
  <w:style w:type="paragraph" w:customStyle="1" w:styleId="TableHeading">
    <w:name w:val="Table Heading"/>
    <w:basedOn w:val="HeadingBase"/>
    <w:rsid w:val="005C5B24"/>
    <w:pPr>
      <w:keepLines/>
      <w:pBdr>
        <w:bottom w:val="single" w:sz="6" w:space="1" w:color="918585"/>
      </w:pBdr>
      <w:spacing w:before="240"/>
    </w:pPr>
  </w:style>
  <w:style w:type="character" w:customStyle="1" w:styleId="HotSpot">
    <w:name w:val="HotSpot"/>
    <w:rsid w:val="005C5B24"/>
    <w:rPr>
      <w:color w:val="0033CC"/>
      <w:u w:val="none"/>
    </w:rPr>
  </w:style>
  <w:style w:type="paragraph" w:customStyle="1" w:styleId="BodyTextRight">
    <w:name w:val="Body Text Right"/>
    <w:basedOn w:val="BodyText"/>
    <w:rsid w:val="005C5B24"/>
    <w:pPr>
      <w:spacing w:before="0" w:after="0"/>
      <w:jc w:val="right"/>
    </w:pPr>
  </w:style>
  <w:style w:type="paragraph" w:styleId="Index3">
    <w:name w:val="index 3"/>
    <w:basedOn w:val="ListNumber2"/>
    <w:next w:val="Normal"/>
    <w:semiHidden/>
    <w:rsid w:val="005C5B24"/>
    <w:pPr>
      <w:numPr>
        <w:numId w:val="0"/>
      </w:numPr>
      <w:tabs>
        <w:tab w:val="right" w:leader="dot" w:pos="4176"/>
      </w:tabs>
    </w:pPr>
  </w:style>
  <w:style w:type="paragraph" w:styleId="ListNumber2">
    <w:name w:val="List Number 2"/>
    <w:basedOn w:val="List2"/>
    <w:rsid w:val="005C5B24"/>
    <w:pPr>
      <w:numPr>
        <w:numId w:val="9"/>
      </w:numPr>
      <w:tabs>
        <w:tab w:val="clear" w:pos="1060"/>
      </w:tabs>
    </w:pPr>
  </w:style>
  <w:style w:type="paragraph" w:customStyle="1" w:styleId="MarginNote">
    <w:name w:val="Margin Note"/>
    <w:basedOn w:val="BodyText"/>
    <w:rsid w:val="005C5B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B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B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B24"/>
    <w:rPr>
      <w:sz w:val="32"/>
    </w:rPr>
  </w:style>
  <w:style w:type="paragraph" w:customStyle="1" w:styleId="HeadingProcedure">
    <w:name w:val="Heading Procedure"/>
    <w:basedOn w:val="HeadingBase"/>
    <w:next w:val="Normal"/>
    <w:rsid w:val="005C5B24"/>
    <w:pPr>
      <w:tabs>
        <w:tab w:val="left" w:pos="0"/>
      </w:tabs>
      <w:spacing w:before="120" w:after="60"/>
    </w:pPr>
    <w:rPr>
      <w:i/>
      <w:color w:val="918585"/>
      <w:sz w:val="22"/>
    </w:rPr>
  </w:style>
  <w:style w:type="paragraph" w:customStyle="1" w:styleId="TableBodyText">
    <w:name w:val="Table Body Text"/>
    <w:basedOn w:val="BodyText"/>
    <w:rsid w:val="005C5B24"/>
    <w:pPr>
      <w:spacing w:before="60" w:after="60"/>
    </w:pPr>
  </w:style>
  <w:style w:type="paragraph" w:styleId="ListContinue">
    <w:name w:val="List Continue"/>
    <w:basedOn w:val="List"/>
    <w:rsid w:val="005C5B24"/>
    <w:pPr>
      <w:ind w:firstLine="0"/>
    </w:pPr>
  </w:style>
  <w:style w:type="paragraph" w:customStyle="1" w:styleId="ListNote">
    <w:name w:val="List Note"/>
    <w:basedOn w:val="List"/>
    <w:rsid w:val="005C5B24"/>
    <w:pPr>
      <w:pBdr>
        <w:top w:val="single" w:sz="6" w:space="2" w:color="918585"/>
        <w:bottom w:val="single" w:sz="6" w:space="2" w:color="918585"/>
      </w:pBdr>
      <w:tabs>
        <w:tab w:val="left" w:pos="1021"/>
      </w:tabs>
      <w:ind w:firstLine="0"/>
    </w:pPr>
  </w:style>
  <w:style w:type="paragraph" w:customStyle="1" w:styleId="Warning">
    <w:name w:val="Warning"/>
    <w:basedOn w:val="BodyText"/>
    <w:rsid w:val="005C5B24"/>
    <w:pPr>
      <w:shd w:val="clear" w:color="auto" w:fill="D9D9D9"/>
      <w:tabs>
        <w:tab w:val="left" w:pos="992"/>
      </w:tabs>
      <w:ind w:left="119" w:right="119"/>
    </w:pPr>
    <w:rPr>
      <w:sz w:val="20"/>
    </w:rPr>
  </w:style>
  <w:style w:type="paragraph" w:customStyle="1" w:styleId="MarginIcons">
    <w:name w:val="Margin Icons"/>
    <w:basedOn w:val="BodyText"/>
    <w:rsid w:val="005C5B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B24"/>
    <w:rPr>
      <w:rFonts w:ascii="Courier New" w:hAnsi="Courier New"/>
    </w:rPr>
  </w:style>
  <w:style w:type="paragraph" w:customStyle="1" w:styleId="NoteBullet">
    <w:name w:val="Note Bullet"/>
    <w:basedOn w:val="Note"/>
    <w:rsid w:val="005C5B24"/>
    <w:pPr>
      <w:tabs>
        <w:tab w:val="clear" w:pos="680"/>
      </w:tabs>
      <w:spacing w:before="60" w:after="60"/>
    </w:pPr>
  </w:style>
  <w:style w:type="paragraph" w:customStyle="1" w:styleId="SubHeading2">
    <w:name w:val="SubHeading2"/>
    <w:basedOn w:val="HeadingBase"/>
    <w:rsid w:val="005C5B24"/>
    <w:pPr>
      <w:spacing w:before="240" w:after="60"/>
    </w:pPr>
    <w:rPr>
      <w:sz w:val="20"/>
    </w:rPr>
  </w:style>
  <w:style w:type="paragraph" w:customStyle="1" w:styleId="SubHeading1">
    <w:name w:val="SubHeading1"/>
    <w:basedOn w:val="HeadingBase"/>
    <w:rsid w:val="005C5B24"/>
    <w:pPr>
      <w:spacing w:before="240" w:after="60"/>
    </w:pPr>
    <w:rPr>
      <w:color w:val="918585"/>
      <w:sz w:val="22"/>
    </w:rPr>
  </w:style>
  <w:style w:type="paragraph" w:customStyle="1" w:styleId="SideHeading">
    <w:name w:val="Side Heading"/>
    <w:basedOn w:val="HeadingBase"/>
    <w:rsid w:val="005C5B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B24"/>
    <w:pPr>
      <w:numPr>
        <w:numId w:val="10"/>
      </w:numPr>
    </w:pPr>
  </w:style>
  <w:style w:type="paragraph" w:styleId="PlainText">
    <w:name w:val="Plain Text"/>
    <w:basedOn w:val="Normal"/>
    <w:link w:val="PlainTextChar"/>
    <w:rsid w:val="005C5B24"/>
    <w:rPr>
      <w:sz w:val="20"/>
    </w:rPr>
  </w:style>
  <w:style w:type="character" w:customStyle="1" w:styleId="PlainTextChar">
    <w:name w:val="Plain Text Char"/>
    <w:basedOn w:val="DefaultParagraphFont"/>
    <w:link w:val="PlainText"/>
    <w:rsid w:val="005C5B24"/>
    <w:rPr>
      <w:rFonts w:ascii="Courier New" w:eastAsia="Times New Roman" w:hAnsi="Courier New" w:cs="Times New Roman"/>
      <w:sz w:val="20"/>
      <w:szCs w:val="20"/>
      <w:lang w:eastAsia="en-US"/>
    </w:rPr>
  </w:style>
  <w:style w:type="character" w:customStyle="1" w:styleId="MenuOption">
    <w:name w:val="Menu Option"/>
    <w:basedOn w:val="DefaultParagraphFont"/>
    <w:rsid w:val="005C5B24"/>
    <w:rPr>
      <w:b/>
      <w:smallCaps/>
    </w:rPr>
  </w:style>
  <w:style w:type="paragraph" w:customStyle="1" w:styleId="TableListNumber">
    <w:name w:val="Table List Number"/>
    <w:basedOn w:val="ListNumber"/>
    <w:rsid w:val="005C5B24"/>
    <w:pPr>
      <w:numPr>
        <w:numId w:val="0"/>
      </w:numPr>
    </w:pPr>
  </w:style>
  <w:style w:type="paragraph" w:styleId="TOC4">
    <w:name w:val="toc 4"/>
    <w:basedOn w:val="TOCBase"/>
    <w:next w:val="Normal"/>
    <w:semiHidden/>
    <w:rsid w:val="005C5B24"/>
    <w:pPr>
      <w:tabs>
        <w:tab w:val="right" w:leader="dot" w:pos="9071"/>
      </w:tabs>
      <w:ind w:left="1701"/>
    </w:pPr>
  </w:style>
  <w:style w:type="paragraph" w:customStyle="1" w:styleId="ListAlpha">
    <w:name w:val="List Alpha"/>
    <w:basedOn w:val="List"/>
    <w:rsid w:val="005C5B24"/>
    <w:pPr>
      <w:numPr>
        <w:numId w:val="8"/>
      </w:numPr>
    </w:pPr>
  </w:style>
  <w:style w:type="paragraph" w:customStyle="1" w:styleId="ListAlpha2">
    <w:name w:val="List Alpha 2"/>
    <w:basedOn w:val="List2"/>
    <w:rsid w:val="005C5B24"/>
    <w:pPr>
      <w:numPr>
        <w:numId w:val="7"/>
      </w:numPr>
    </w:pPr>
  </w:style>
  <w:style w:type="paragraph" w:styleId="List2">
    <w:name w:val="List 2"/>
    <w:basedOn w:val="BodyText"/>
    <w:rsid w:val="005C5B24"/>
    <w:pPr>
      <w:tabs>
        <w:tab w:val="left" w:pos="680"/>
      </w:tabs>
      <w:spacing w:before="60" w:after="60"/>
      <w:ind w:left="680" w:hanging="340"/>
    </w:pPr>
  </w:style>
  <w:style w:type="paragraph" w:styleId="List3">
    <w:name w:val="List 3"/>
    <w:basedOn w:val="BodyText"/>
    <w:rsid w:val="005C5B24"/>
    <w:pPr>
      <w:tabs>
        <w:tab w:val="left" w:pos="1021"/>
      </w:tabs>
      <w:spacing w:before="60" w:after="60"/>
      <w:ind w:left="1020" w:hanging="340"/>
    </w:pPr>
  </w:style>
  <w:style w:type="paragraph" w:styleId="List4">
    <w:name w:val="List 4"/>
    <w:basedOn w:val="BodyText"/>
    <w:rsid w:val="005C5B24"/>
    <w:pPr>
      <w:tabs>
        <w:tab w:val="left" w:pos="1361"/>
      </w:tabs>
      <w:spacing w:before="60" w:after="60"/>
      <w:ind w:left="1361" w:hanging="340"/>
    </w:pPr>
  </w:style>
  <w:style w:type="paragraph" w:styleId="List5">
    <w:name w:val="List 5"/>
    <w:basedOn w:val="BodyText"/>
    <w:rsid w:val="005C5B24"/>
    <w:pPr>
      <w:tabs>
        <w:tab w:val="left" w:pos="1701"/>
      </w:tabs>
      <w:spacing w:before="60" w:after="60"/>
      <w:ind w:left="1701" w:hanging="340"/>
    </w:pPr>
  </w:style>
  <w:style w:type="paragraph" w:styleId="ListBullet3">
    <w:name w:val="List Bullet 3"/>
    <w:basedOn w:val="List3"/>
    <w:rsid w:val="005C5B24"/>
    <w:pPr>
      <w:numPr>
        <w:numId w:val="13"/>
      </w:numPr>
      <w:tabs>
        <w:tab w:val="clear" w:pos="1021"/>
      </w:tabs>
      <w:ind w:left="1037" w:hanging="357"/>
    </w:pPr>
  </w:style>
  <w:style w:type="paragraph" w:styleId="ListBullet4">
    <w:name w:val="List Bullet 4"/>
    <w:basedOn w:val="List4"/>
    <w:rsid w:val="005C5B24"/>
    <w:pPr>
      <w:numPr>
        <w:numId w:val="2"/>
      </w:numPr>
      <w:tabs>
        <w:tab w:val="clear" w:pos="1361"/>
      </w:tabs>
    </w:pPr>
  </w:style>
  <w:style w:type="paragraph" w:styleId="ListBullet5">
    <w:name w:val="List Bullet 5"/>
    <w:basedOn w:val="List5"/>
    <w:rsid w:val="005C5B24"/>
    <w:pPr>
      <w:numPr>
        <w:numId w:val="3"/>
      </w:numPr>
    </w:pPr>
  </w:style>
  <w:style w:type="paragraph" w:styleId="ListContinue2">
    <w:name w:val="List Continue 2"/>
    <w:basedOn w:val="List2"/>
    <w:rsid w:val="005C5B24"/>
    <w:pPr>
      <w:ind w:firstLine="0"/>
    </w:pPr>
  </w:style>
  <w:style w:type="paragraph" w:styleId="ListContinue3">
    <w:name w:val="List Continue 3"/>
    <w:basedOn w:val="List3"/>
    <w:rsid w:val="005C5B24"/>
    <w:pPr>
      <w:ind w:left="1021" w:firstLine="0"/>
    </w:pPr>
  </w:style>
  <w:style w:type="paragraph" w:styleId="ListContinue4">
    <w:name w:val="List Continue 4"/>
    <w:basedOn w:val="List4"/>
    <w:rsid w:val="005C5B24"/>
    <w:pPr>
      <w:ind w:firstLine="0"/>
    </w:pPr>
  </w:style>
  <w:style w:type="paragraph" w:styleId="ListContinue5">
    <w:name w:val="List Continue 5"/>
    <w:basedOn w:val="List5"/>
    <w:rsid w:val="005C5B24"/>
    <w:pPr>
      <w:ind w:firstLine="0"/>
    </w:pPr>
  </w:style>
  <w:style w:type="paragraph" w:styleId="ListNumber3">
    <w:name w:val="List Number 3"/>
    <w:basedOn w:val="List3"/>
    <w:rsid w:val="005C5B24"/>
    <w:pPr>
      <w:numPr>
        <w:numId w:val="4"/>
      </w:numPr>
    </w:pPr>
  </w:style>
  <w:style w:type="paragraph" w:styleId="ListNumber4">
    <w:name w:val="List Number 4"/>
    <w:basedOn w:val="List4"/>
    <w:rsid w:val="005C5B24"/>
    <w:pPr>
      <w:numPr>
        <w:numId w:val="5"/>
      </w:numPr>
    </w:pPr>
  </w:style>
  <w:style w:type="paragraph" w:styleId="ListNumber5">
    <w:name w:val="List Number 5"/>
    <w:basedOn w:val="List5"/>
    <w:rsid w:val="005C5B24"/>
    <w:pPr>
      <w:numPr>
        <w:numId w:val="6"/>
      </w:numPr>
    </w:pPr>
  </w:style>
  <w:style w:type="paragraph" w:styleId="BlockText">
    <w:name w:val="Block Text"/>
    <w:basedOn w:val="Normal"/>
    <w:rsid w:val="005C5B24"/>
    <w:pPr>
      <w:spacing w:after="120"/>
      <w:ind w:left="1440" w:right="1440"/>
    </w:pPr>
  </w:style>
  <w:style w:type="character" w:customStyle="1" w:styleId="Subscript">
    <w:name w:val="Subscript"/>
    <w:basedOn w:val="DefaultParagraphFont"/>
    <w:rsid w:val="005C5B24"/>
    <w:rPr>
      <w:sz w:val="16"/>
      <w:vertAlign w:val="subscript"/>
    </w:rPr>
  </w:style>
  <w:style w:type="character" w:customStyle="1" w:styleId="Superscript">
    <w:name w:val="Superscript"/>
    <w:basedOn w:val="DefaultParagraphFont"/>
    <w:rsid w:val="005C5B24"/>
    <w:rPr>
      <w:sz w:val="16"/>
      <w:vertAlign w:val="superscript"/>
    </w:rPr>
  </w:style>
  <w:style w:type="character" w:customStyle="1" w:styleId="Symbols">
    <w:name w:val="Symbols"/>
    <w:basedOn w:val="DefaultParagraphFont"/>
    <w:rsid w:val="005C5B24"/>
    <w:rPr>
      <w:rFonts w:ascii="Symbol" w:hAnsi="Symbol"/>
    </w:rPr>
  </w:style>
  <w:style w:type="character" w:customStyle="1" w:styleId="MenuOptions">
    <w:name w:val="Menu Options"/>
    <w:basedOn w:val="DefaultParagraphFont"/>
    <w:rsid w:val="005C5B24"/>
    <w:rPr>
      <w:rFonts w:ascii="Arial Narrow" w:hAnsi="Arial Narrow"/>
      <w:smallCaps/>
    </w:rPr>
  </w:style>
  <w:style w:type="character" w:customStyle="1" w:styleId="Buttons">
    <w:name w:val="Buttons"/>
    <w:basedOn w:val="DefaultParagraphFont"/>
    <w:rsid w:val="005C5B24"/>
    <w:rPr>
      <w:b/>
    </w:rPr>
  </w:style>
  <w:style w:type="character" w:customStyle="1" w:styleId="Underlined">
    <w:name w:val="Underlined"/>
    <w:basedOn w:val="DefaultParagraphFont"/>
    <w:rsid w:val="005C5B24"/>
    <w:rPr>
      <w:u w:val="single"/>
    </w:rPr>
  </w:style>
  <w:style w:type="paragraph" w:customStyle="1" w:styleId="TableBodyTextRight">
    <w:name w:val="Table Body Text Right"/>
    <w:basedOn w:val="TableBodyText"/>
    <w:rsid w:val="005C5B24"/>
    <w:pPr>
      <w:widowControl w:val="0"/>
      <w:autoSpaceDE w:val="0"/>
      <w:autoSpaceDN w:val="0"/>
      <w:adjustRightInd w:val="0"/>
      <w:jc w:val="right"/>
    </w:pPr>
    <w:rPr>
      <w:rFonts w:cs="Arial"/>
      <w:szCs w:val="18"/>
    </w:rPr>
  </w:style>
  <w:style w:type="paragraph" w:customStyle="1" w:styleId="CopyrightText">
    <w:name w:val="Copyright Text"/>
    <w:basedOn w:val="BodyText"/>
    <w:rsid w:val="005C5B24"/>
    <w:rPr>
      <w:sz w:val="18"/>
    </w:rPr>
  </w:style>
  <w:style w:type="paragraph" w:customStyle="1" w:styleId="BodySmallRight">
    <w:name w:val="Body Small Right"/>
    <w:basedOn w:val="BodyTextRight"/>
    <w:rsid w:val="005C5B24"/>
    <w:rPr>
      <w:sz w:val="18"/>
      <w:szCs w:val="18"/>
    </w:rPr>
  </w:style>
  <w:style w:type="paragraph" w:customStyle="1" w:styleId="MarginEdition">
    <w:name w:val="Margin Edition"/>
    <w:basedOn w:val="MarginNote"/>
    <w:rsid w:val="005C5B24"/>
    <w:pPr>
      <w:spacing w:before="0" w:after="0"/>
    </w:pPr>
    <w:rPr>
      <w:rFonts w:ascii="Times New Roman" w:hAnsi="Times New Roman"/>
      <w:color w:val="999999"/>
    </w:rPr>
  </w:style>
  <w:style w:type="paragraph" w:customStyle="1" w:styleId="Spacer">
    <w:name w:val="Spacer"/>
    <w:basedOn w:val="Normal"/>
    <w:rsid w:val="005C5B24"/>
    <w:rPr>
      <w:sz w:val="2"/>
      <w:szCs w:val="2"/>
    </w:rPr>
  </w:style>
  <w:style w:type="character" w:customStyle="1" w:styleId="Small">
    <w:name w:val="Small"/>
    <w:basedOn w:val="DefaultParagraphFont"/>
    <w:rsid w:val="005C5B24"/>
    <w:rPr>
      <w:sz w:val="16"/>
    </w:rPr>
  </w:style>
  <w:style w:type="paragraph" w:customStyle="1" w:styleId="WideTable">
    <w:name w:val="Wide Table"/>
    <w:basedOn w:val="Normal"/>
    <w:rsid w:val="005C5B24"/>
    <w:pPr>
      <w:ind w:left="-1418"/>
    </w:pPr>
    <w:rPr>
      <w:sz w:val="2"/>
      <w:szCs w:val="2"/>
    </w:rPr>
  </w:style>
  <w:style w:type="character" w:styleId="PageNumber">
    <w:name w:val="page number"/>
    <w:basedOn w:val="DefaultParagraphFont"/>
    <w:rsid w:val="005C5B24"/>
  </w:style>
  <w:style w:type="paragraph" w:styleId="Quote">
    <w:name w:val="Quote"/>
    <w:basedOn w:val="Heading1"/>
    <w:link w:val="QuoteChar"/>
    <w:qFormat/>
    <w:rsid w:val="005C5B24"/>
    <w:rPr>
      <w:b w:val="0"/>
      <w:sz w:val="72"/>
      <w:szCs w:val="72"/>
      <w:lang w:val="en-NZ"/>
    </w:rPr>
  </w:style>
  <w:style w:type="character" w:customStyle="1" w:styleId="QuoteChar">
    <w:name w:val="Quote Char"/>
    <w:basedOn w:val="DefaultParagraphFont"/>
    <w:link w:val="Quote"/>
    <w:rsid w:val="005C5B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B24"/>
    <w:pPr>
      <w:pageBreakBefore/>
    </w:pPr>
  </w:style>
  <w:style w:type="paragraph" w:customStyle="1" w:styleId="Border">
    <w:name w:val="Border"/>
    <w:basedOn w:val="Normal"/>
    <w:qFormat/>
    <w:rsid w:val="005C5B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B24"/>
    <w:rPr>
      <w:b/>
      <w:bCs/>
      <w:i/>
      <w:iCs/>
      <w:color w:val="auto"/>
    </w:rPr>
  </w:style>
  <w:style w:type="paragraph" w:styleId="IntenseQuote">
    <w:name w:val="Intense Quote"/>
    <w:basedOn w:val="Normal"/>
    <w:next w:val="Normal"/>
    <w:link w:val="IntenseQuoteChar"/>
    <w:uiPriority w:val="30"/>
    <w:qFormat/>
    <w:rsid w:val="005C5B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B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B24"/>
    <w:rPr>
      <w:smallCaps/>
      <w:color w:val="auto"/>
      <w:u w:val="single"/>
    </w:rPr>
  </w:style>
  <w:style w:type="character" w:styleId="IntenseReference">
    <w:name w:val="Intense Reference"/>
    <w:basedOn w:val="DefaultParagraphFont"/>
    <w:uiPriority w:val="32"/>
    <w:qFormat/>
    <w:rsid w:val="005C5B24"/>
    <w:rPr>
      <w:b/>
      <w:bCs/>
      <w:smallCaps/>
      <w:color w:val="auto"/>
      <w:spacing w:val="5"/>
      <w:u w:val="single"/>
    </w:rPr>
  </w:style>
  <w:style w:type="paragraph" w:customStyle="1" w:styleId="2ColumnHeading">
    <w:name w:val="2Column Heading"/>
    <w:basedOn w:val="BodyText"/>
    <w:qFormat/>
    <w:rsid w:val="005C5B24"/>
    <w:pPr>
      <w:spacing w:after="60"/>
      <w:ind w:left="-2268"/>
    </w:pPr>
    <w:rPr>
      <w:b/>
    </w:rPr>
  </w:style>
  <w:style w:type="paragraph" w:customStyle="1" w:styleId="Heading1TOC">
    <w:name w:val="Heading1 TOC"/>
    <w:basedOn w:val="Normal"/>
    <w:qFormat/>
    <w:rsid w:val="005C5B24"/>
    <w:pPr>
      <w:spacing w:before="240" w:after="120"/>
    </w:pPr>
    <w:rPr>
      <w:rFonts w:ascii="Times New Roman" w:hAnsi="Times New Roman"/>
      <w:b/>
      <w:sz w:val="32"/>
    </w:rPr>
  </w:style>
  <w:style w:type="paragraph" w:customStyle="1" w:styleId="Heading2TOC">
    <w:name w:val="Heading2 TOC"/>
    <w:basedOn w:val="Normal"/>
    <w:qFormat/>
    <w:rsid w:val="005C5B24"/>
    <w:pPr>
      <w:spacing w:before="240" w:after="60"/>
    </w:pPr>
    <w:rPr>
      <w:rFonts w:ascii="Times New Roman" w:hAnsi="Times New Roman"/>
      <w:b/>
      <w:sz w:val="28"/>
    </w:rPr>
  </w:style>
  <w:style w:type="character" w:customStyle="1" w:styleId="Underline">
    <w:name w:val="Underline"/>
    <w:basedOn w:val="DefaultParagraphFont"/>
    <w:qFormat/>
    <w:rsid w:val="005C5B24"/>
    <w:rPr>
      <w:u w:val="single"/>
    </w:rPr>
  </w:style>
  <w:style w:type="character" w:customStyle="1" w:styleId="BoldandItalics">
    <w:name w:val="Bold and Italics"/>
    <w:qFormat/>
    <w:rsid w:val="005C5B24"/>
    <w:rPr>
      <w:b/>
      <w:i/>
      <w:u w:val="none"/>
    </w:rPr>
  </w:style>
  <w:style w:type="paragraph" w:styleId="BalloonText">
    <w:name w:val="Balloon Text"/>
    <w:basedOn w:val="Normal"/>
    <w:link w:val="BalloonTextChar"/>
    <w:rsid w:val="005C5B24"/>
    <w:rPr>
      <w:rFonts w:ascii="Tahoma" w:hAnsi="Tahoma" w:cs="Tahoma"/>
      <w:sz w:val="16"/>
      <w:szCs w:val="16"/>
    </w:rPr>
  </w:style>
  <w:style w:type="character" w:customStyle="1" w:styleId="BalloonTextChar">
    <w:name w:val="Balloon Text Char"/>
    <w:basedOn w:val="DefaultParagraphFont"/>
    <w:link w:val="BalloonText"/>
    <w:rsid w:val="005C5B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B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B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B24"/>
    <w:rPr>
      <w:b/>
      <w:color w:val="660033"/>
      <w:spacing w:val="0"/>
    </w:rPr>
  </w:style>
  <w:style w:type="paragraph" w:customStyle="1" w:styleId="Nameditemlist">
    <w:name w:val="Named item list"/>
    <w:basedOn w:val="BodyText"/>
    <w:qFormat/>
    <w:rsid w:val="005C5B24"/>
    <w:pPr>
      <w:tabs>
        <w:tab w:val="left" w:pos="2835"/>
      </w:tabs>
      <w:ind w:left="2835" w:hanging="2835"/>
    </w:pPr>
  </w:style>
  <w:style w:type="paragraph" w:customStyle="1" w:styleId="BodyTextnopadding">
    <w:name w:val="Body Text no padding"/>
    <w:basedOn w:val="BodyText"/>
    <w:qFormat/>
    <w:rsid w:val="005C5B24"/>
    <w:pPr>
      <w:spacing w:before="0" w:after="0"/>
    </w:pPr>
  </w:style>
  <w:style w:type="paragraph" w:customStyle="1" w:styleId="BodyTextBold">
    <w:name w:val="Body Text Bold"/>
    <w:basedOn w:val="BodyText"/>
    <w:qFormat/>
    <w:rsid w:val="005C5B24"/>
    <w:rPr>
      <w:b/>
    </w:rPr>
  </w:style>
  <w:style w:type="character" w:styleId="Hyperlink">
    <w:name w:val="Hyperlink"/>
    <w:basedOn w:val="DefaultParagraphFont"/>
    <w:uiPriority w:val="99"/>
    <w:unhideWhenUsed/>
    <w:rsid w:val="00980B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1128</Words>
  <Characters>7604</Characters>
  <Application>Microsoft Office Word</Application>
  <DocSecurity>0</DocSecurity>
  <Lines>262</Lines>
  <Paragraphs>134</Paragraphs>
  <ScaleCrop>false</ScaleCrop>
  <Company>Author-it Software Corporation Ltd.</Company>
  <LinksUpToDate>false</LinksUpToDate>
  <CharactersWithSpaces>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TLIF0045 Investigate rail safety incidents</dc:title>
  <dc:subject>Approved</dc:subject>
  <dc:creator>Industry Skills Australia</dc:creator>
  <cp:keywords>Release: 1</cp:keywords>
  <dc:description>Review Date: 12 April 2008</dc:description>
  <cp:lastModifiedBy>HSD_TPCMSd.prod</cp:lastModifiedBy>
  <cp:revision>3</cp:revision>
  <dcterms:created xsi:type="dcterms:W3CDTF">2025-03-01T19:36:00Z</dcterms:created>
  <dcterms:modified xsi:type="dcterms:W3CDTF">2025-03-01T19:37:00Z</dcterms:modified>
</cp:coreProperties>
</file>