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71AD6" w:rsidP="00F71AD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TLIF0043 Implement fitness for work procedures</w:t>
      </w:r>
      <w:r>
        <w:fldChar w:fldCharType="end"/>
      </w:r>
    </w:p>
    <w:p w:rsidR="00F71AD6" w:rsidP="00F71AD6">
      <w:pPr>
        <w:pStyle w:val="Version"/>
        <w:sectPr w:rsidSect="006D6CF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D6CFB" w:rsidP="006D6CFB">
      <w:pPr>
        <w:pStyle w:val="SuperHeading"/>
      </w:pPr>
      <w:r w:rsidRPr="006D6CFB">
        <w:t>TLIF0043 Implement fitness for work procedures</w:t>
      </w:r>
    </w:p>
    <w:p w:rsidR="00000000" w:rsidRPr="006D6CFB" w:rsidP="006D6CFB">
      <w:pPr>
        <w:pStyle w:val="Heading1"/>
      </w:pPr>
      <w:bookmarkStart w:id="1" w:name="O_1240495"/>
      <w:bookmarkEnd w:id="1"/>
      <w:r w:rsidRPr="006D6CF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D6C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CFB" w:rsidP="006D6CFB">
            <w:pPr>
              <w:pStyle w:val="BodyText"/>
            </w:pPr>
            <w:r w:rsidRPr="006D6CFB">
              <w:rPr>
                <w:rStyle w:val="SpecialBold"/>
              </w:rPr>
              <w:t>Release 1</w:t>
            </w:r>
            <w:r w:rsidRPr="006D6CFB">
              <w:t>. This is the first release of this unit of competency in the TLI Transport and Logistics Training Package.</w:t>
            </w:r>
          </w:p>
        </w:tc>
      </w:tr>
    </w:tbl>
    <w:p w:rsidR="00000000" w:rsidRPr="006D6CFB" w:rsidP="006D6CFB">
      <w:pPr>
        <w:pStyle w:val="NoPaddingFontSize1"/>
      </w:pPr>
    </w:p>
    <w:p w:rsidR="00000000" w:rsidRPr="006D6CFB" w:rsidP="006D6CFB">
      <w:pPr>
        <w:pStyle w:val="AllowPageBreak"/>
      </w:pPr>
    </w:p>
    <w:p w:rsidR="00000000" w:rsidRPr="006D6CFB" w:rsidP="006D6CFB">
      <w:pPr>
        <w:pStyle w:val="Heading1"/>
      </w:pPr>
      <w:bookmarkStart w:id="2" w:name="O_1240496"/>
      <w:bookmarkEnd w:id="2"/>
      <w:r w:rsidRPr="006D6CFB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D6C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CFB" w:rsidP="006D6CFB">
            <w:pPr>
              <w:pStyle w:val="BodyText"/>
            </w:pPr>
            <w:r w:rsidRPr="006D6CFB">
              <w:t>This unit involves the skills and knowledge required to implement fitness fo</w:t>
            </w:r>
            <w:r w:rsidRPr="006D6CFB">
              <w:t>r work policy and procedures in an organisation in compliance with the relevant fitness for work regulations and requirements.</w:t>
            </w:r>
          </w:p>
          <w:p w:rsidR="00000000" w:rsidRPr="006D6CFB" w:rsidP="006D6CFB">
            <w:pPr>
              <w:pStyle w:val="BodyText"/>
            </w:pPr>
            <w:r w:rsidRPr="006D6CFB">
              <w:t>It includes identifying legal requirements, liabilities and responsibilities; establishing and/or improving implementation plans,</w:t>
            </w:r>
            <w:r w:rsidRPr="006D6CFB">
              <w:t xml:space="preserve"> and related policy and workplace procedures; and acting appropriately on reports about the implementation of fitness for work policy and identified breaches of associated regulations.</w:t>
            </w:r>
          </w:p>
          <w:p w:rsidR="00000000" w:rsidRPr="006D6CFB" w:rsidP="006D6CFB">
            <w:pPr>
              <w:pStyle w:val="BodyText"/>
            </w:pPr>
            <w:r w:rsidRPr="006D6CFB">
              <w:t>It also includes ensuring that the operation’s systems are compliant wi</w:t>
            </w:r>
            <w:r w:rsidRPr="006D6CFB">
              <w:t xml:space="preserve">th rail safety national law, regulations and workplace procedures, and monitoring and communicating fitness for work programs. </w:t>
            </w:r>
          </w:p>
          <w:p w:rsidR="00000000" w:rsidRPr="006D6CFB" w:rsidP="006D6CFB">
            <w:pPr>
              <w:pStyle w:val="BodyText"/>
            </w:pPr>
            <w:r w:rsidRPr="006D6CFB">
              <w:t>Work is performed under some supervision generally within a team environment. It involves implementing and monitoring fitness fo</w:t>
            </w:r>
            <w:r w:rsidRPr="006D6CFB">
              <w:t>r work policies and procedures as part of workplace activities.</w:t>
            </w:r>
          </w:p>
          <w:p w:rsidR="00000000" w:rsidRPr="006D6CFB" w:rsidP="006D6CFB">
            <w:pPr>
              <w:pStyle w:val="BodyText"/>
            </w:pPr>
            <w:r w:rsidRPr="006D6CFB">
              <w:t>No licensing, legislative or certification requirements apply to this unit at the time of publication.</w:t>
            </w:r>
          </w:p>
        </w:tc>
      </w:tr>
    </w:tbl>
    <w:p w:rsidR="00000000" w:rsidRPr="006D6CFB" w:rsidP="006D6CFB">
      <w:pPr>
        <w:pStyle w:val="NoPaddingFontSize1"/>
      </w:pPr>
    </w:p>
    <w:p w:rsidR="00000000" w:rsidRPr="006D6CFB" w:rsidP="006D6CFB">
      <w:pPr>
        <w:pStyle w:val="AllowPageBreak"/>
      </w:pPr>
    </w:p>
    <w:p w:rsidR="00000000" w:rsidRPr="006D6CFB" w:rsidP="006D6CFB">
      <w:pPr>
        <w:pStyle w:val="Heading1"/>
      </w:pPr>
      <w:bookmarkStart w:id="3" w:name="O_1240497"/>
      <w:bookmarkEnd w:id="3"/>
      <w:r w:rsidRPr="006D6CFB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D6C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CFB" w:rsidP="006D6CFB">
            <w:pPr>
              <w:pStyle w:val="BodyText"/>
            </w:pPr>
            <w:r w:rsidRPr="006D6CFB">
              <w:t>Not applicable.</w:t>
            </w:r>
          </w:p>
        </w:tc>
      </w:tr>
    </w:tbl>
    <w:p w:rsidR="00000000" w:rsidRPr="006D6CFB" w:rsidP="006D6CFB">
      <w:pPr>
        <w:pStyle w:val="NoPaddingFontSize1"/>
      </w:pPr>
    </w:p>
    <w:p w:rsidR="00000000" w:rsidRPr="006D6CFB" w:rsidP="006D6CFB">
      <w:pPr>
        <w:pStyle w:val="AllowPageBreak"/>
      </w:pPr>
    </w:p>
    <w:p w:rsidR="00000000" w:rsidRPr="006D6CFB" w:rsidP="006D6CFB">
      <w:pPr>
        <w:pStyle w:val="Heading1"/>
      </w:pPr>
      <w:bookmarkStart w:id="4" w:name="O_1240498"/>
      <w:bookmarkEnd w:id="4"/>
      <w:r w:rsidRPr="006D6CFB">
        <w:t>Competency F</w:t>
      </w:r>
      <w:r w:rsidRPr="006D6CFB">
        <w:t>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D6C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CFB" w:rsidP="006D6CFB">
            <w:pPr>
              <w:pStyle w:val="BodyText"/>
            </w:pPr>
            <w:r w:rsidRPr="006D6CFB">
              <w:t>F – Safety Management</w:t>
            </w:r>
          </w:p>
        </w:tc>
      </w:tr>
    </w:tbl>
    <w:p w:rsidR="00000000" w:rsidRPr="006D6CFB" w:rsidP="006D6CFB">
      <w:pPr>
        <w:pStyle w:val="NoPaddingFontSize1"/>
      </w:pPr>
    </w:p>
    <w:p w:rsidR="00000000" w:rsidRPr="006D6CFB" w:rsidP="006D6CFB">
      <w:pPr>
        <w:pStyle w:val="AllowPageBreak"/>
      </w:pPr>
    </w:p>
    <w:p w:rsidR="00000000" w:rsidRPr="006D6CFB" w:rsidP="006D6CFB">
      <w:pPr>
        <w:pStyle w:val="Heading1"/>
      </w:pPr>
      <w:bookmarkStart w:id="5" w:name="O_1240499"/>
      <w:bookmarkEnd w:id="5"/>
      <w:r w:rsidRPr="006D6CFB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D6C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CFB" w:rsidP="006D6CFB">
            <w:pPr>
              <w:pStyle w:val="BodyText"/>
            </w:pPr>
            <w:r w:rsidRPr="006D6CFB">
              <w:t>Rail sector.</w:t>
            </w:r>
          </w:p>
        </w:tc>
      </w:tr>
    </w:tbl>
    <w:p w:rsidR="00000000" w:rsidRPr="006D6CFB" w:rsidP="006D6CFB">
      <w:pPr>
        <w:pStyle w:val="NoPaddingFontSize1"/>
      </w:pPr>
    </w:p>
    <w:p w:rsidR="00000000" w:rsidRPr="006D6CFB" w:rsidP="006D6CFB">
      <w:pPr>
        <w:pStyle w:val="AllowPageBreak"/>
      </w:pPr>
    </w:p>
    <w:p w:rsidR="00000000" w:rsidRPr="006D6CFB" w:rsidP="006D6CFB">
      <w:pPr>
        <w:pStyle w:val="Heading1"/>
      </w:pPr>
      <w:bookmarkStart w:id="6" w:name="O_1240500"/>
      <w:bookmarkEnd w:id="6"/>
      <w:r w:rsidRPr="006D6CFB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675"/>
        <w:gridCol w:w="3276"/>
        <w:gridCol w:w="1304"/>
        <w:gridCol w:w="4242"/>
      </w:tblGrid>
      <w:tr w:rsidTr="006D6C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5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CFB">
            <w:pPr>
              <w:pStyle w:val="BodyText"/>
              <w:rPr>
                <w:lang w:val="en-NZ"/>
              </w:rPr>
            </w:pPr>
            <w:r w:rsidRPr="006D6CFB">
              <w:t>Elements describe the essential outcomes.</w:t>
            </w:r>
          </w:p>
        </w:tc>
        <w:tc>
          <w:tcPr>
            <w:tcW w:w="554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CFB">
            <w:pPr>
              <w:pStyle w:val="BodyText"/>
              <w:rPr>
                <w:lang w:val="en-NZ"/>
              </w:rPr>
            </w:pPr>
            <w:r w:rsidRPr="006D6CFB">
              <w:t>Performance criteria describe the performance needed to demonstrate achievement of the element.</w:t>
            </w:r>
          </w:p>
        </w:tc>
      </w:tr>
      <w:tr w:rsidTr="006D6C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CFB" w:rsidP="006D6CFB">
            <w:pPr>
              <w:pStyle w:val="BodyText"/>
            </w:pPr>
            <w:r w:rsidRPr="006D6CFB">
              <w:rPr>
                <w:rStyle w:val="SpecialBold"/>
              </w:rPr>
              <w:t>1</w:t>
            </w:r>
          </w:p>
        </w:tc>
        <w:tc>
          <w:tcPr>
            <w:tcW w:w="3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CFB" w:rsidP="006D6CFB">
            <w:pPr>
              <w:pStyle w:val="BodyText"/>
            </w:pPr>
            <w:r w:rsidRPr="006D6CFB">
              <w:rPr>
                <w:rStyle w:val="SpecialBold"/>
              </w:rPr>
              <w:t>Confirm regulatory requirements and organisational responsibilities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CFB">
            <w:pPr>
              <w:pStyle w:val="BodyText"/>
              <w:rPr>
                <w:lang w:val="en-NZ"/>
              </w:rPr>
            </w:pPr>
            <w:r w:rsidRPr="006D6CFB">
              <w:rPr>
                <w:rStyle w:val="SpecialBold"/>
              </w:rPr>
              <w:t>1.1</w:t>
            </w:r>
          </w:p>
        </w:tc>
        <w:tc>
          <w:tcPr>
            <w:tcW w:w="42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CFB">
            <w:pPr>
              <w:pStyle w:val="BodyText"/>
              <w:rPr>
                <w:lang w:val="en-NZ"/>
              </w:rPr>
            </w:pPr>
            <w:r w:rsidRPr="006D6CFB">
              <w:t>Current regulatory requirements, obligations and responsibilities for fitness for work within an organisation are identified and interpreted</w:t>
            </w:r>
          </w:p>
        </w:tc>
      </w:tr>
      <w:tr w:rsidTr="006D6C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CFB">
            <w:pPr>
              <w:pStyle w:val="BodyText"/>
              <w:keepLines w:val="0"/>
              <w:spacing w:before="0" w:after="0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CFB">
            <w:pPr>
              <w:pStyle w:val="BodyText"/>
              <w:rPr>
                <w:lang w:val="en-NZ"/>
              </w:rPr>
            </w:pPr>
            <w:r w:rsidRPr="006D6CFB">
              <w:rPr>
                <w:rStyle w:val="SpecialBold"/>
              </w:rPr>
              <w:t>1.2</w:t>
            </w:r>
          </w:p>
        </w:tc>
        <w:tc>
          <w:tcPr>
            <w:tcW w:w="42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CFB">
            <w:pPr>
              <w:pStyle w:val="BodyText"/>
              <w:rPr>
                <w:lang w:val="en-NZ"/>
              </w:rPr>
            </w:pPr>
            <w:r w:rsidRPr="006D6CFB">
              <w:t>National health assessment standards for rail safety workers and/or other applicable state/territory standar</w:t>
            </w:r>
            <w:r w:rsidRPr="006D6CFB">
              <w:t>ds are accessed and interpreted</w:t>
            </w:r>
          </w:p>
        </w:tc>
      </w:tr>
      <w:tr w:rsidTr="006D6C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CFB">
            <w:pPr>
              <w:pStyle w:val="BodyText"/>
              <w:keepLines w:val="0"/>
              <w:spacing w:before="0" w:after="0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CFB">
            <w:pPr>
              <w:pStyle w:val="BodyText"/>
              <w:rPr>
                <w:lang w:val="en-NZ"/>
              </w:rPr>
            </w:pPr>
            <w:r w:rsidRPr="006D6CFB">
              <w:rPr>
                <w:rStyle w:val="SpecialBold"/>
              </w:rPr>
              <w:t>1.3</w:t>
            </w:r>
          </w:p>
        </w:tc>
        <w:tc>
          <w:tcPr>
            <w:tcW w:w="42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CFB">
            <w:pPr>
              <w:pStyle w:val="BodyText"/>
              <w:rPr>
                <w:lang w:val="en-NZ"/>
              </w:rPr>
            </w:pPr>
            <w:r w:rsidRPr="006D6CFB">
              <w:t>Current regulatory requirements, obligations and responsibilities regarding the use of drugs and alcohol by rail safety workers are identified and interpreted</w:t>
            </w:r>
          </w:p>
        </w:tc>
      </w:tr>
      <w:tr w:rsidTr="006D6C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CFB">
            <w:pPr>
              <w:pStyle w:val="BodyText"/>
              <w:keepLines w:val="0"/>
              <w:spacing w:before="0" w:after="0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CFB">
            <w:pPr>
              <w:pStyle w:val="BodyText"/>
              <w:rPr>
                <w:lang w:val="en-NZ"/>
              </w:rPr>
            </w:pPr>
            <w:r w:rsidRPr="006D6CFB">
              <w:rPr>
                <w:rStyle w:val="SpecialBold"/>
              </w:rPr>
              <w:t>1.4</w:t>
            </w:r>
          </w:p>
        </w:tc>
        <w:tc>
          <w:tcPr>
            <w:tcW w:w="42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CFB">
            <w:pPr>
              <w:pStyle w:val="BodyText"/>
              <w:rPr>
                <w:lang w:val="en-NZ"/>
              </w:rPr>
            </w:pPr>
            <w:r w:rsidRPr="006D6CFB">
              <w:t>Current regulatory requirements, obligations and re</w:t>
            </w:r>
            <w:r w:rsidRPr="006D6CFB">
              <w:t>sponsibilities regarding fatigue management of rail safety workers are identified and interpreted</w:t>
            </w:r>
          </w:p>
        </w:tc>
      </w:tr>
      <w:tr w:rsidTr="006D6C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CFB" w:rsidP="006D6CFB">
            <w:pPr>
              <w:pStyle w:val="BodyText"/>
            </w:pPr>
            <w:r w:rsidRPr="006D6CFB">
              <w:rPr>
                <w:rStyle w:val="SpecialBold"/>
              </w:rPr>
              <w:t>2</w:t>
            </w:r>
          </w:p>
        </w:tc>
        <w:tc>
          <w:tcPr>
            <w:tcW w:w="3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CFB" w:rsidP="006D6CFB">
            <w:pPr>
              <w:pStyle w:val="BodyText"/>
            </w:pPr>
            <w:r w:rsidRPr="006D6CFB">
              <w:rPr>
                <w:rStyle w:val="SpecialBold"/>
              </w:rPr>
              <w:t>Assist to implement fitness for work policy and procedures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CFB">
            <w:pPr>
              <w:pStyle w:val="BodyText"/>
              <w:rPr>
                <w:lang w:val="en-NZ"/>
              </w:rPr>
            </w:pPr>
            <w:r w:rsidRPr="006D6CFB">
              <w:rPr>
                <w:rStyle w:val="SpecialBold"/>
              </w:rPr>
              <w:t>2.1</w:t>
            </w:r>
          </w:p>
        </w:tc>
        <w:tc>
          <w:tcPr>
            <w:tcW w:w="42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CFB">
            <w:pPr>
              <w:pStyle w:val="BodyText"/>
              <w:rPr>
                <w:lang w:val="en-NZ"/>
              </w:rPr>
            </w:pPr>
            <w:r w:rsidRPr="006D6CFB">
              <w:t>Assistance with the development and implementation of organisational fitness for work policy and procedures is demonstrated</w:t>
            </w:r>
          </w:p>
        </w:tc>
      </w:tr>
      <w:tr w:rsidTr="006D6C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CFB">
            <w:pPr>
              <w:pStyle w:val="BodyText"/>
              <w:keepLines w:val="0"/>
              <w:spacing w:before="0" w:after="0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CFB">
            <w:pPr>
              <w:pStyle w:val="BodyText"/>
              <w:rPr>
                <w:lang w:val="en-NZ"/>
              </w:rPr>
            </w:pPr>
            <w:r w:rsidRPr="006D6CFB">
              <w:rPr>
                <w:rStyle w:val="SpecialBold"/>
              </w:rPr>
              <w:t>2.2</w:t>
            </w:r>
          </w:p>
        </w:tc>
        <w:tc>
          <w:tcPr>
            <w:tcW w:w="42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CFB">
            <w:pPr>
              <w:pStyle w:val="BodyText"/>
              <w:rPr>
                <w:lang w:val="en-NZ"/>
              </w:rPr>
            </w:pPr>
            <w:r w:rsidRPr="006D6CFB">
              <w:t>Assistance with the development and implementation of organisational fatigue management program is demonstrated</w:t>
            </w:r>
          </w:p>
        </w:tc>
      </w:tr>
      <w:tr w:rsidTr="006D6C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CFB">
            <w:pPr>
              <w:pStyle w:val="BodyText"/>
              <w:keepLines w:val="0"/>
              <w:spacing w:before="0" w:after="0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CFB">
            <w:pPr>
              <w:pStyle w:val="BodyText"/>
              <w:rPr>
                <w:lang w:val="en-NZ"/>
              </w:rPr>
            </w:pPr>
            <w:r w:rsidRPr="006D6CFB">
              <w:rPr>
                <w:rStyle w:val="SpecialBold"/>
              </w:rPr>
              <w:t>2.3</w:t>
            </w:r>
          </w:p>
        </w:tc>
        <w:tc>
          <w:tcPr>
            <w:tcW w:w="42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CFB">
            <w:pPr>
              <w:pStyle w:val="BodyText"/>
              <w:rPr>
                <w:lang w:val="en-NZ"/>
              </w:rPr>
            </w:pPr>
            <w:r w:rsidRPr="006D6CFB">
              <w:t>Assist</w:t>
            </w:r>
            <w:r w:rsidRPr="006D6CFB">
              <w:t>ance with the development and implementation of drug and alcohol program is demonstrated in accordance with workplace procedures</w:t>
            </w:r>
          </w:p>
        </w:tc>
      </w:tr>
      <w:tr w:rsidTr="006D6C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CFB">
            <w:pPr>
              <w:pStyle w:val="BodyText"/>
              <w:keepLines w:val="0"/>
              <w:spacing w:before="0" w:after="0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CFB">
            <w:pPr>
              <w:pStyle w:val="BodyText"/>
              <w:rPr>
                <w:lang w:val="en-NZ"/>
              </w:rPr>
            </w:pPr>
            <w:r w:rsidRPr="006D6CFB">
              <w:rPr>
                <w:rStyle w:val="SpecialBold"/>
              </w:rPr>
              <w:t>2.4</w:t>
            </w:r>
          </w:p>
        </w:tc>
        <w:tc>
          <w:tcPr>
            <w:tcW w:w="42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CFB">
            <w:pPr>
              <w:pStyle w:val="BodyText"/>
              <w:rPr>
                <w:lang w:val="en-NZ"/>
              </w:rPr>
            </w:pPr>
            <w:r w:rsidRPr="006D6CFB">
              <w:t>Assistance with the development and implementation of health assessment program is demonstrated in accordance with workp</w:t>
            </w:r>
            <w:r w:rsidRPr="006D6CFB">
              <w:t>lace procedures and regulatory requirements</w:t>
            </w:r>
          </w:p>
        </w:tc>
      </w:tr>
      <w:tr w:rsidTr="006D6C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CFB">
            <w:pPr>
              <w:pStyle w:val="BodyText"/>
              <w:keepLines w:val="0"/>
              <w:spacing w:before="0" w:after="0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CFB">
            <w:pPr>
              <w:pStyle w:val="BodyText"/>
              <w:rPr>
                <w:lang w:val="en-NZ"/>
              </w:rPr>
            </w:pPr>
            <w:r w:rsidRPr="006D6CFB">
              <w:rPr>
                <w:rStyle w:val="SpecialBold"/>
              </w:rPr>
              <w:t>2.5</w:t>
            </w:r>
          </w:p>
        </w:tc>
        <w:tc>
          <w:tcPr>
            <w:tcW w:w="42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CFB" w:rsidP="006D6CFB">
            <w:pPr>
              <w:pStyle w:val="BodyText"/>
            </w:pPr>
            <w:r w:rsidRPr="006D6CFB">
              <w:t>Identified non-conformance with fitness for work is reported in accordance with workplace procedures and regulatory requirements</w:t>
            </w:r>
          </w:p>
        </w:tc>
      </w:tr>
    </w:tbl>
    <w:p w:rsidR="00000000" w:rsidRPr="006D6CFB" w:rsidP="006D6CFB">
      <w:pPr>
        <w:pStyle w:val="NoPaddingFontSize1"/>
      </w:pPr>
    </w:p>
    <w:p w:rsidR="00000000" w:rsidRPr="006D6CFB" w:rsidP="006D6CFB">
      <w:pPr>
        <w:pStyle w:val="AllowPageBreak"/>
      </w:pPr>
    </w:p>
    <w:p w:rsidR="00000000" w:rsidRPr="006D6CFB" w:rsidP="006D6CFB">
      <w:pPr>
        <w:pStyle w:val="Heading1"/>
      </w:pPr>
      <w:bookmarkStart w:id="7" w:name="O_1240501"/>
      <w:bookmarkEnd w:id="7"/>
      <w:r w:rsidRPr="006D6CFB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D6C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CFB" w:rsidP="006D6CFB">
            <w:pPr>
              <w:pStyle w:val="BodyText"/>
            </w:pPr>
            <w:r w:rsidRPr="006D6CFB">
              <w:t xml:space="preserve">Foundation skills essential to performance are explicit in the performance criteria of this unit of </w:t>
            </w:r>
            <w:r w:rsidRPr="006D6CFB">
              <w:t>competency.</w:t>
            </w:r>
          </w:p>
        </w:tc>
      </w:tr>
    </w:tbl>
    <w:p w:rsidR="00000000" w:rsidRPr="006D6CFB" w:rsidP="006D6CFB">
      <w:pPr>
        <w:pStyle w:val="NoPaddingFontSize1"/>
      </w:pPr>
    </w:p>
    <w:p w:rsidR="00000000" w:rsidRPr="006D6CFB" w:rsidP="006D6CFB">
      <w:pPr>
        <w:pStyle w:val="AllowPageBreak"/>
      </w:pPr>
    </w:p>
    <w:p w:rsidR="00000000" w:rsidRPr="006D6CFB" w:rsidP="006D6CFB">
      <w:pPr>
        <w:pStyle w:val="Heading1"/>
      </w:pPr>
      <w:bookmarkStart w:id="8" w:name="O_1240502"/>
      <w:bookmarkEnd w:id="8"/>
      <w:r w:rsidRPr="006D6CFB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D6C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CFB" w:rsidP="006D6CFB">
            <w:pPr>
              <w:pStyle w:val="BodyText"/>
            </w:pPr>
            <w:r w:rsidRPr="006D6CFB">
              <w:t>Range is restricted to essential operating conditions and any other variables essential to the work environment.</w:t>
            </w:r>
          </w:p>
          <w:p w:rsidR="00000000" w:rsidRPr="006D6CFB" w:rsidP="006D6CFB">
            <w:pPr>
              <w:pStyle w:val="BodyText"/>
            </w:pPr>
            <w:r w:rsidRPr="006D6CFB">
              <w:t>Non-essential conditions can be found in the TLI Transport and Logistics Training Package Companion Volume Implementation Guide.</w:t>
            </w:r>
          </w:p>
        </w:tc>
      </w:tr>
    </w:tbl>
    <w:p w:rsidR="00000000" w:rsidRPr="006D6CFB" w:rsidP="006D6CFB">
      <w:pPr>
        <w:pStyle w:val="NoPaddingFontSize1"/>
      </w:pPr>
    </w:p>
    <w:p w:rsidR="00000000" w:rsidRPr="006D6CFB" w:rsidP="006D6CFB">
      <w:pPr>
        <w:pStyle w:val="AllowPageBreak"/>
      </w:pPr>
    </w:p>
    <w:p w:rsidR="00000000" w:rsidRPr="006D6CFB" w:rsidP="006D6CFB">
      <w:pPr>
        <w:pStyle w:val="Heading1"/>
      </w:pPr>
      <w:bookmarkStart w:id="9" w:name="O_1240503"/>
      <w:bookmarkEnd w:id="9"/>
      <w:r w:rsidRPr="006D6CFB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D6C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CFB" w:rsidP="006D6CFB">
            <w:pPr>
              <w:pStyle w:val="BodyText"/>
            </w:pPr>
            <w:r w:rsidRPr="006D6CFB">
              <w:t>This unit replaces and is equivalent to TLIF4103 Implement fitness for work procedures.</w:t>
            </w:r>
          </w:p>
        </w:tc>
      </w:tr>
    </w:tbl>
    <w:p w:rsidR="00000000" w:rsidRPr="006D6CFB" w:rsidP="006D6CFB">
      <w:pPr>
        <w:pStyle w:val="NoPaddingFontSize1"/>
      </w:pPr>
    </w:p>
    <w:p w:rsidR="00000000" w:rsidRPr="006D6CFB" w:rsidP="006D6CFB">
      <w:pPr>
        <w:pStyle w:val="AllowPageBreak"/>
      </w:pPr>
    </w:p>
    <w:p w:rsidR="00000000" w:rsidRPr="006D6CFB" w:rsidP="006D6CFB">
      <w:pPr>
        <w:pStyle w:val="Heading1"/>
      </w:pPr>
      <w:bookmarkStart w:id="10" w:name="O_1240510"/>
      <w:bookmarkEnd w:id="10"/>
      <w:r w:rsidRPr="006D6CFB">
        <w:t>Links</w:t>
      </w:r>
    </w:p>
    <w:p w:rsidR="00000000" w:rsidRPr="006D6CFB" w:rsidP="00F71AD6">
      <w:pPr>
        <w:pStyle w:val="BodyText"/>
      </w:pPr>
      <w:r w:rsidRPr="006D6CF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AB0405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6D6CFB" w:rsidP="00F71AD6">
      <w:pPr>
        <w:pStyle w:val="BodyText"/>
        <w:sectPr w:rsidSect="006D6CF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D6CFB" w:rsidP="006D6CFB">
      <w:pPr>
        <w:pStyle w:val="SuperHeading"/>
      </w:pPr>
      <w:r w:rsidRPr="006D6CFB">
        <w:t>Assessment Requirements for TLIF0043 Implement fitness for work</w:t>
      </w:r>
      <w:r w:rsidRPr="006D6CFB">
        <w:t xml:space="preserve"> procedures</w:t>
      </w:r>
    </w:p>
    <w:p w:rsidR="00000000" w:rsidRPr="006D6CFB" w:rsidP="006D6CFB">
      <w:pPr>
        <w:pStyle w:val="Heading1"/>
      </w:pPr>
      <w:bookmarkStart w:id="11" w:name="O_1240505"/>
      <w:bookmarkEnd w:id="11"/>
      <w:r w:rsidRPr="006D6CF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D6C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CFB" w:rsidP="006D6CFB">
            <w:pPr>
              <w:pStyle w:val="BodyText"/>
            </w:pPr>
            <w:r w:rsidRPr="006D6CFB">
              <w:rPr>
                <w:rStyle w:val="SpecialBold"/>
              </w:rPr>
              <w:t>Release 1</w:t>
            </w:r>
            <w:r w:rsidRPr="006D6CFB">
              <w:t>. This is the first release of this unit of competency in the TLI Transport and Logistics Training Package.</w:t>
            </w:r>
          </w:p>
        </w:tc>
      </w:tr>
    </w:tbl>
    <w:p w:rsidR="00000000" w:rsidRPr="006D6CFB" w:rsidP="006D6CFB">
      <w:pPr>
        <w:pStyle w:val="NoPaddingFontSize1"/>
      </w:pPr>
    </w:p>
    <w:p w:rsidR="00000000" w:rsidRPr="006D6CFB" w:rsidP="006D6CFB">
      <w:pPr>
        <w:pStyle w:val="AllowPageBreak"/>
      </w:pPr>
    </w:p>
    <w:p w:rsidR="00000000" w:rsidRPr="006D6CFB" w:rsidP="006D6CFB">
      <w:pPr>
        <w:pStyle w:val="Heading1"/>
      </w:pPr>
      <w:bookmarkStart w:id="12" w:name="O_1240506"/>
      <w:bookmarkEnd w:id="12"/>
      <w:r w:rsidRPr="006D6CFB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D6C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CFB">
            <w:pPr>
              <w:pStyle w:val="BodyText"/>
              <w:rPr>
                <w:lang w:val="en-NZ"/>
              </w:rPr>
            </w:pPr>
            <w:r w:rsidRPr="006D6CFB">
              <w:t>Evidence required to demonstrate competence in</w:t>
            </w:r>
            <w:r w:rsidRPr="006D6CFB">
              <w:t xml:space="preserve"> this unit must be relevant to and satisfy all of the requirements of the elements and performance criteria on at least one occasion and include:</w:t>
            </w:r>
          </w:p>
        </w:tc>
      </w:tr>
      <w:tr w:rsidTr="006D6C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CFB" w:rsidP="006D6CFB">
            <w:pPr>
              <w:pStyle w:val="ListBullet"/>
            </w:pPr>
            <w:r w:rsidRPr="006D6CFB">
              <w:t xml:space="preserve">adapting to changes in legislation and regulations as they relate to fitness for work </w:t>
            </w:r>
          </w:p>
          <w:p w:rsidR="00000000" w:rsidRPr="006D6CFB" w:rsidP="006D6CFB">
            <w:pPr>
              <w:pStyle w:val="ListBullet"/>
            </w:pPr>
            <w:r w:rsidRPr="006D6CFB">
              <w:t>applying rail safety national law, regulations and workplace procedures</w:t>
            </w:r>
          </w:p>
          <w:p w:rsidR="00000000" w:rsidRPr="006D6CFB" w:rsidP="006D6CFB">
            <w:pPr>
              <w:pStyle w:val="ListBullet"/>
            </w:pPr>
            <w:r w:rsidRPr="006D6CFB">
              <w:t>communicating effectively and working collaboratively with employees and management to implement organisation’s fitness for work management system</w:t>
            </w:r>
          </w:p>
          <w:p w:rsidR="00000000" w:rsidRPr="006D6CFB" w:rsidP="006D6CFB">
            <w:pPr>
              <w:pStyle w:val="ListBullet"/>
            </w:pPr>
            <w:r w:rsidRPr="006D6CFB">
              <w:t>monitoring and identifying non-confor</w:t>
            </w:r>
            <w:r w:rsidRPr="006D6CFB">
              <w:t>mance of organisation’s fitness for work management systems and programs, and taking appropriate actions</w:t>
            </w:r>
          </w:p>
          <w:p w:rsidR="00000000" w:rsidRPr="006D6CFB" w:rsidP="006D6CFB">
            <w:pPr>
              <w:pStyle w:val="ListBullet"/>
            </w:pPr>
            <w:r w:rsidRPr="006D6CFB">
              <w:t>reading and interpreting relevant documentation.</w:t>
            </w:r>
          </w:p>
        </w:tc>
      </w:tr>
    </w:tbl>
    <w:p w:rsidR="00000000" w:rsidRPr="006D6CFB" w:rsidP="006D6CFB">
      <w:pPr>
        <w:pStyle w:val="NoPaddingFontSize1"/>
      </w:pPr>
    </w:p>
    <w:p w:rsidR="00000000" w:rsidRPr="006D6CFB" w:rsidP="006D6CFB">
      <w:pPr>
        <w:pStyle w:val="AllowPageBreak"/>
      </w:pPr>
    </w:p>
    <w:p w:rsidR="00000000" w:rsidRPr="006D6CFB" w:rsidP="006D6CFB">
      <w:pPr>
        <w:pStyle w:val="Heading1"/>
      </w:pPr>
      <w:bookmarkStart w:id="13" w:name="O_1240507"/>
      <w:bookmarkEnd w:id="13"/>
      <w:r w:rsidRPr="006D6CFB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D6C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CFB">
            <w:pPr>
              <w:pStyle w:val="BodyText"/>
              <w:rPr>
                <w:lang w:val="en-NZ"/>
              </w:rPr>
            </w:pPr>
            <w:r w:rsidRPr="006D6CFB">
              <w:t xml:space="preserve">Evidence required to demonstrate competence in this unit must </w:t>
            </w:r>
            <w:r w:rsidRPr="006D6CFB">
              <w:t>be relevant to and satisfy all of the requirements of the elements and performance criteria and include knowledge of:</w:t>
            </w:r>
          </w:p>
        </w:tc>
      </w:tr>
      <w:tr w:rsidTr="006D6C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CFB" w:rsidP="006D6CFB">
            <w:pPr>
              <w:pStyle w:val="ListBullet"/>
            </w:pPr>
            <w:r w:rsidRPr="006D6CFB">
              <w:t xml:space="preserve">components of a fitness for work risk management system </w:t>
            </w:r>
          </w:p>
          <w:p w:rsidR="00000000" w:rsidRPr="006D6CFB" w:rsidP="006D6CFB">
            <w:pPr>
              <w:pStyle w:val="ListBullet"/>
            </w:pPr>
            <w:r w:rsidRPr="006D6CFB">
              <w:t>drug and alcohol policy and workplace procedures</w:t>
            </w:r>
          </w:p>
          <w:p w:rsidR="00000000" w:rsidRPr="006D6CFB" w:rsidP="006D6CFB">
            <w:pPr>
              <w:pStyle w:val="ListBullet"/>
            </w:pPr>
            <w:r w:rsidRPr="006D6CFB">
              <w:t>drug and alcohol testing and r</w:t>
            </w:r>
            <w:r w:rsidRPr="006D6CFB">
              <w:t>eporting requirements</w:t>
            </w:r>
          </w:p>
          <w:p w:rsidR="00000000" w:rsidRPr="006D6CFB" w:rsidP="006D6CFB">
            <w:pPr>
              <w:pStyle w:val="ListBullet"/>
            </w:pPr>
            <w:r w:rsidRPr="006D6CFB">
              <w:t>fatigue management policy and workplace procedures</w:t>
            </w:r>
          </w:p>
          <w:p w:rsidR="00000000" w:rsidRPr="006D6CFB" w:rsidP="006D6CFB">
            <w:pPr>
              <w:pStyle w:val="ListBullet"/>
            </w:pPr>
            <w:r w:rsidRPr="006D6CFB">
              <w:t>health and fitness management program</w:t>
            </w:r>
          </w:p>
          <w:p w:rsidR="00000000" w:rsidRPr="006D6CFB" w:rsidP="006D6CFB">
            <w:pPr>
              <w:pStyle w:val="ListBullet"/>
            </w:pPr>
            <w:r w:rsidRPr="006D6CFB">
              <w:t>health assessment requirements</w:t>
            </w:r>
          </w:p>
          <w:p w:rsidR="00000000" w:rsidRPr="006D6CFB" w:rsidP="006D6CFB">
            <w:pPr>
              <w:pStyle w:val="ListBullet"/>
            </w:pPr>
            <w:r w:rsidRPr="006D6CFB">
              <w:t>legislated rail safety worker medical requirements</w:t>
            </w:r>
          </w:p>
          <w:p w:rsidR="00000000" w:rsidRPr="006D6CFB" w:rsidP="006D6CFB">
            <w:pPr>
              <w:pStyle w:val="ListBullet"/>
            </w:pPr>
            <w:r w:rsidRPr="006D6CFB">
              <w:t>relevant legislation and regulations relating to fatigue management, drug and alcohol use, and medical requirements in the rail industry</w:t>
            </w:r>
          </w:p>
          <w:p w:rsidR="00000000" w:rsidRPr="006D6CFB" w:rsidP="006D6CFB">
            <w:pPr>
              <w:pStyle w:val="ListBullet"/>
            </w:pPr>
            <w:r w:rsidRPr="006D6CFB">
              <w:t>responsibilities of organisation and employees for implementing fitness for work regulations and policies</w:t>
            </w:r>
          </w:p>
          <w:p w:rsidR="00000000" w:rsidRPr="006D6CFB" w:rsidP="006D6CFB">
            <w:pPr>
              <w:pStyle w:val="ListBullet"/>
            </w:pPr>
            <w:r w:rsidRPr="006D6CFB">
              <w:t>systems for m</w:t>
            </w:r>
            <w:r w:rsidRPr="006D6CFB">
              <w:t>onitoring non-conformance of the effectiveness of organisation’s fitness for work management strategies, policies and workplace procedures.</w:t>
            </w:r>
          </w:p>
        </w:tc>
      </w:tr>
    </w:tbl>
    <w:p w:rsidR="00000000" w:rsidRPr="006D6CFB" w:rsidP="006D6CFB">
      <w:pPr>
        <w:pStyle w:val="NoPaddingFontSize1"/>
      </w:pPr>
    </w:p>
    <w:p w:rsidR="00000000" w:rsidRPr="006D6CFB" w:rsidP="006D6CFB">
      <w:pPr>
        <w:pStyle w:val="AllowPageBreak"/>
      </w:pPr>
    </w:p>
    <w:p w:rsidR="00000000" w:rsidRPr="006D6CFB" w:rsidP="006D6CFB">
      <w:pPr>
        <w:pStyle w:val="Heading1"/>
      </w:pPr>
      <w:bookmarkStart w:id="14" w:name="O_1240508"/>
      <w:bookmarkEnd w:id="14"/>
      <w:r w:rsidRPr="006D6CFB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D6C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CFB" w:rsidP="006D6CFB">
            <w:pPr>
              <w:pStyle w:val="BodyText"/>
            </w:pPr>
            <w:r w:rsidRPr="006D6CFB">
              <w:t>Assessors must hold credentials specified within the Standards for Regist</w:t>
            </w:r>
            <w:r w:rsidRPr="006D6CFB">
              <w:t xml:space="preserve">ered Training Organisations current at the time of assessment. </w:t>
            </w:r>
          </w:p>
          <w:p w:rsidR="00000000" w:rsidRPr="006D6CFB" w:rsidP="006D6CFB">
            <w:pPr>
              <w:pStyle w:val="BodyText"/>
            </w:pPr>
            <w:r w:rsidRPr="006D6CFB">
              <w:t>Assessment must satisfy the Principles of Assessment and Rules of Evidence and all regulatory requirements included within the Standards for Registered Training Organisations current at the ti</w:t>
            </w:r>
            <w:r w:rsidRPr="006D6CFB">
              <w:t>me of assessment.</w:t>
            </w:r>
          </w:p>
          <w:p w:rsidR="00000000" w:rsidRPr="006D6CFB" w:rsidP="006D6CFB">
            <w:pPr>
              <w:pStyle w:val="BodyText"/>
            </w:pPr>
            <w:r w:rsidRPr="006D6CFB">
              <w:t>Assessment must occur in workplace operational situations where it is appropriate to do so; where this is not appropriate, assessment must occur in simulated workplace operational situations that replicate rail workplace conditions.</w:t>
            </w:r>
          </w:p>
          <w:p w:rsidR="00000000" w:rsidRPr="006D6CFB" w:rsidP="006D6CFB">
            <w:pPr>
              <w:pStyle w:val="BodyText"/>
            </w:pPr>
            <w:r w:rsidRPr="006D6CFB">
              <w:t>Assessment processes and techniques must be appropriate to the language, literacy and numeracy requirements of the work being performed and the needs of the candidate.</w:t>
            </w:r>
          </w:p>
          <w:p w:rsidR="00000000" w:rsidRPr="006D6CFB" w:rsidP="006D6CFB">
            <w:pPr>
              <w:pStyle w:val="BodyText"/>
            </w:pPr>
            <w:r w:rsidRPr="006D6CFB">
              <w:t>Resources for assessment must include access to:</w:t>
            </w:r>
          </w:p>
          <w:p w:rsidR="00000000" w:rsidRPr="006D6CFB" w:rsidP="006D6CFB">
            <w:pPr>
              <w:pStyle w:val="ListBullet"/>
            </w:pPr>
            <w:r w:rsidRPr="006D6CFB">
              <w:t>a range of relevant exercises, case st</w:t>
            </w:r>
            <w:r w:rsidRPr="006D6CFB">
              <w:t>udies and/or simulations</w:t>
            </w:r>
          </w:p>
          <w:p w:rsidR="00000000" w:rsidRPr="006D6CFB" w:rsidP="006D6CFB">
            <w:pPr>
              <w:pStyle w:val="ListBullet"/>
            </w:pPr>
            <w:r w:rsidRPr="006D6CFB">
              <w:t>applicable documentation including workplace procedures, rail safety national law, regulations, codes of practice and operation manuals.</w:t>
            </w:r>
          </w:p>
        </w:tc>
      </w:tr>
    </w:tbl>
    <w:p w:rsidR="00000000" w:rsidRPr="006D6CFB" w:rsidP="006D6CFB">
      <w:pPr>
        <w:pStyle w:val="NoPaddingFontSize1"/>
      </w:pPr>
    </w:p>
    <w:p w:rsidR="00000000" w:rsidRPr="006D6CFB" w:rsidP="006D6CFB">
      <w:pPr>
        <w:pStyle w:val="AllowPageBreak"/>
      </w:pPr>
    </w:p>
    <w:p w:rsidR="00000000" w:rsidRPr="006D6CFB" w:rsidP="006D6CFB">
      <w:pPr>
        <w:pStyle w:val="Heading1"/>
      </w:pPr>
      <w:bookmarkStart w:id="15" w:name="O_1240511"/>
      <w:bookmarkEnd w:id="15"/>
      <w:r w:rsidRPr="006D6CFB">
        <w:t>Links</w:t>
      </w:r>
    </w:p>
    <w:p w:rsidR="00000000" w:rsidRPr="006D6CFB" w:rsidP="00F71AD6">
      <w:pPr>
        <w:pStyle w:val="BodyText"/>
      </w:pPr>
      <w:r w:rsidRPr="006D6CF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AB0405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6D6CFB" w:rsidP="006D6CFB"/>
    <w:sectPr w:rsidSect="006D6CF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1AD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1AD6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1AD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1AD6" w:rsidP="006D6C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71AD6" w:rsidP="006D6C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F71AD6" w:rsidP="006D6CF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CFB" w:rsidP="006D6C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71AD6">
      <w:t>Approved</w:t>
    </w:r>
    <w:r w:rsidR="00F71AD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71AD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71AD6">
      <w:rPr>
        <w:noProof/>
      </w:rPr>
      <w:t>4</w:t>
    </w:r>
    <w:r>
      <w:rPr>
        <w:noProof/>
      </w:rPr>
      <w:fldChar w:fldCharType="end"/>
    </w:r>
  </w:p>
  <w:p w:rsidR="006D6CFB" w:rsidP="006D6C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71AD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71AD6">
      <w:t>Industry Skills Australia</w:t>
    </w:r>
    <w:r w:rsidR="00F71AD6">
      <w:fldChar w:fldCharType="end"/>
    </w:r>
  </w:p>
  <w:p w:rsidR="006D6CFB" w:rsidP="006D6CF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1AD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1AD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D6CFB" w:rsidRPr="00F71AD6" w:rsidP="00F71AD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1AD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1AD6" w:rsidRPr="002D2AF8" w:rsidP="006D6C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TLIF0043 Implement fitness for work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71AD6" w:rsidP="006D6CF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CFB" w:rsidRPr="002D2AF8" w:rsidP="006D6C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71AD6">
      <w:t>TLIF0043 Implement fitness for work procedures</w:t>
    </w:r>
    <w:r w:rsidR="00F71AD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71AD6">
      <w:rPr>
        <w:noProof/>
      </w:rPr>
      <w:t>2 March 2025</w:t>
    </w:r>
    <w:r>
      <w:fldChar w:fldCharType="end"/>
    </w:r>
  </w:p>
  <w:p w:rsidR="006D6CFB" w:rsidP="006D6CF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B0E3A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7FC078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6CF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D6CF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D6CF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D6CF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D6CF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D6CF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D6CF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D6CF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D6CF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D6CF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D6CF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D6CFB"/>
  </w:style>
  <w:style w:type="character" w:customStyle="1" w:styleId="Heading1Char">
    <w:name w:val="Heading 1 Char"/>
    <w:basedOn w:val="DefaultParagraphFont"/>
    <w:link w:val="Heading1"/>
    <w:rsid w:val="006D6CF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D6CF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D6CF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D6CF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D6CFB"/>
    <w:rPr>
      <w:b/>
      <w:spacing w:val="0"/>
    </w:rPr>
  </w:style>
  <w:style w:type="paragraph" w:customStyle="1" w:styleId="SuperHeading">
    <w:name w:val="SuperHeading"/>
    <w:basedOn w:val="Normal"/>
    <w:rsid w:val="006D6CF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D6CF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D6CF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D6CF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D6CF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D6C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D6C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D6C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D6C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D6CF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D6CF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D6CF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D6CF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D6CF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D6CF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D6CF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D6CF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D6CF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D6CF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D6CF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D6CF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D6CF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D6CF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D6CF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D6CF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D6CF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D6CF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D6CF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D6CF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D6CF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D6CF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D6CF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D6CF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D6CF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D6CF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D6CFB"/>
    <w:rPr>
      <w:i/>
    </w:rPr>
  </w:style>
  <w:style w:type="paragraph" w:styleId="Caption">
    <w:name w:val="caption"/>
    <w:basedOn w:val="BodyText"/>
    <w:next w:val="Normal"/>
    <w:qFormat/>
    <w:rsid w:val="006D6CF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D6CF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D6CF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D6CFB"/>
  </w:style>
  <w:style w:type="paragraph" w:styleId="TableofFigures">
    <w:name w:val="table of figures"/>
    <w:basedOn w:val="Normal"/>
    <w:next w:val="Normal"/>
    <w:semiHidden/>
    <w:rsid w:val="006D6CF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D6CF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D6CFB"/>
    <w:rPr>
      <w:rFonts w:ascii="Wingdings" w:hAnsi="Wingdings"/>
    </w:rPr>
  </w:style>
  <w:style w:type="paragraph" w:customStyle="1" w:styleId="TableHeading">
    <w:name w:val="Table Heading"/>
    <w:basedOn w:val="HeadingBase"/>
    <w:rsid w:val="006D6CF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D6CFB"/>
    <w:rPr>
      <w:color w:val="0033CC"/>
      <w:u w:val="none"/>
    </w:rPr>
  </w:style>
  <w:style w:type="paragraph" w:customStyle="1" w:styleId="BodyTextRight">
    <w:name w:val="Body Text Right"/>
    <w:basedOn w:val="BodyText"/>
    <w:rsid w:val="006D6CF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D6CF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D6CF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D6CF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D6CF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D6CF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D6CFB"/>
    <w:rPr>
      <w:sz w:val="32"/>
    </w:rPr>
  </w:style>
  <w:style w:type="paragraph" w:customStyle="1" w:styleId="HeadingProcedure">
    <w:name w:val="Heading Procedure"/>
    <w:basedOn w:val="HeadingBase"/>
    <w:next w:val="Normal"/>
    <w:rsid w:val="006D6CF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D6CFB"/>
    <w:pPr>
      <w:spacing w:before="60" w:after="60"/>
    </w:pPr>
  </w:style>
  <w:style w:type="paragraph" w:styleId="ListContinue">
    <w:name w:val="List Continue"/>
    <w:basedOn w:val="List"/>
    <w:rsid w:val="006D6CFB"/>
    <w:pPr>
      <w:ind w:firstLine="0"/>
    </w:pPr>
  </w:style>
  <w:style w:type="paragraph" w:customStyle="1" w:styleId="ListNote">
    <w:name w:val="List Note"/>
    <w:basedOn w:val="List"/>
    <w:rsid w:val="006D6CF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D6CF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D6CF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D6CFB"/>
    <w:rPr>
      <w:rFonts w:ascii="Courier New" w:hAnsi="Courier New"/>
    </w:rPr>
  </w:style>
  <w:style w:type="paragraph" w:customStyle="1" w:styleId="NoteBullet">
    <w:name w:val="Note Bullet"/>
    <w:basedOn w:val="Note"/>
    <w:rsid w:val="006D6CF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D6CF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D6CF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D6CF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D6CF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D6CF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D6CF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D6CFB"/>
    <w:rPr>
      <w:b/>
      <w:smallCaps/>
    </w:rPr>
  </w:style>
  <w:style w:type="paragraph" w:customStyle="1" w:styleId="TableListNumber">
    <w:name w:val="Table List Number"/>
    <w:basedOn w:val="ListNumber"/>
    <w:rsid w:val="006D6CF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D6CF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D6CFB"/>
    <w:pPr>
      <w:numPr>
        <w:numId w:val="8"/>
      </w:numPr>
    </w:pPr>
  </w:style>
  <w:style w:type="paragraph" w:customStyle="1" w:styleId="ListAlpha2">
    <w:name w:val="List Alpha 2"/>
    <w:basedOn w:val="List2"/>
    <w:rsid w:val="006D6CFB"/>
    <w:pPr>
      <w:numPr>
        <w:numId w:val="7"/>
      </w:numPr>
    </w:pPr>
  </w:style>
  <w:style w:type="paragraph" w:styleId="List2">
    <w:name w:val="List 2"/>
    <w:basedOn w:val="BodyText"/>
    <w:rsid w:val="006D6CF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D6CF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D6CF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D6CF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D6CF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D6CF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D6CFB"/>
    <w:pPr>
      <w:numPr>
        <w:numId w:val="3"/>
      </w:numPr>
    </w:pPr>
  </w:style>
  <w:style w:type="paragraph" w:styleId="ListContinue2">
    <w:name w:val="List Continue 2"/>
    <w:basedOn w:val="List2"/>
    <w:rsid w:val="006D6CFB"/>
    <w:pPr>
      <w:ind w:firstLine="0"/>
    </w:pPr>
  </w:style>
  <w:style w:type="paragraph" w:styleId="ListContinue3">
    <w:name w:val="List Continue 3"/>
    <w:basedOn w:val="List3"/>
    <w:rsid w:val="006D6CFB"/>
    <w:pPr>
      <w:ind w:left="1021" w:firstLine="0"/>
    </w:pPr>
  </w:style>
  <w:style w:type="paragraph" w:styleId="ListContinue4">
    <w:name w:val="List Continue 4"/>
    <w:basedOn w:val="List4"/>
    <w:rsid w:val="006D6CFB"/>
    <w:pPr>
      <w:ind w:firstLine="0"/>
    </w:pPr>
  </w:style>
  <w:style w:type="paragraph" w:styleId="ListContinue5">
    <w:name w:val="List Continue 5"/>
    <w:basedOn w:val="List5"/>
    <w:rsid w:val="006D6CFB"/>
    <w:pPr>
      <w:ind w:firstLine="0"/>
    </w:pPr>
  </w:style>
  <w:style w:type="paragraph" w:styleId="ListNumber3">
    <w:name w:val="List Number 3"/>
    <w:basedOn w:val="List3"/>
    <w:rsid w:val="006D6CFB"/>
    <w:pPr>
      <w:numPr>
        <w:numId w:val="4"/>
      </w:numPr>
    </w:pPr>
  </w:style>
  <w:style w:type="paragraph" w:styleId="ListNumber4">
    <w:name w:val="List Number 4"/>
    <w:basedOn w:val="List4"/>
    <w:rsid w:val="006D6CFB"/>
    <w:pPr>
      <w:numPr>
        <w:numId w:val="5"/>
      </w:numPr>
    </w:pPr>
  </w:style>
  <w:style w:type="paragraph" w:styleId="ListNumber5">
    <w:name w:val="List Number 5"/>
    <w:basedOn w:val="List5"/>
    <w:rsid w:val="006D6CFB"/>
    <w:pPr>
      <w:numPr>
        <w:numId w:val="6"/>
      </w:numPr>
    </w:pPr>
  </w:style>
  <w:style w:type="paragraph" w:styleId="BlockText">
    <w:name w:val="Block Text"/>
    <w:basedOn w:val="Normal"/>
    <w:rsid w:val="006D6CF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D6CF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D6CFB"/>
    <w:rPr>
      <w:sz w:val="16"/>
      <w:vertAlign w:val="superscript"/>
    </w:rPr>
  </w:style>
  <w:style w:type="character" w:customStyle="1" w:styleId="Symbols">
    <w:name w:val="Symbols"/>
    <w:basedOn w:val="DefaultParagraphFont"/>
    <w:rsid w:val="006D6CFB"/>
    <w:rPr>
      <w:rFonts w:ascii="Symbol" w:hAnsi="Symbol"/>
    </w:rPr>
  </w:style>
  <w:style w:type="character" w:customStyle="1" w:styleId="MenuOptions">
    <w:name w:val="Menu Options"/>
    <w:basedOn w:val="DefaultParagraphFont"/>
    <w:rsid w:val="006D6CF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D6CFB"/>
    <w:rPr>
      <w:b/>
    </w:rPr>
  </w:style>
  <w:style w:type="character" w:customStyle="1" w:styleId="Underlined">
    <w:name w:val="Underlined"/>
    <w:basedOn w:val="DefaultParagraphFont"/>
    <w:rsid w:val="006D6CFB"/>
    <w:rPr>
      <w:u w:val="single"/>
    </w:rPr>
  </w:style>
  <w:style w:type="paragraph" w:customStyle="1" w:styleId="TableBodyTextRight">
    <w:name w:val="Table Body Text Right"/>
    <w:basedOn w:val="TableBodyText"/>
    <w:rsid w:val="006D6CF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D6CFB"/>
    <w:rPr>
      <w:sz w:val="18"/>
    </w:rPr>
  </w:style>
  <w:style w:type="paragraph" w:customStyle="1" w:styleId="BodySmallRight">
    <w:name w:val="Body Small Right"/>
    <w:basedOn w:val="BodyTextRight"/>
    <w:rsid w:val="006D6CFB"/>
    <w:rPr>
      <w:sz w:val="18"/>
      <w:szCs w:val="18"/>
    </w:rPr>
  </w:style>
  <w:style w:type="paragraph" w:customStyle="1" w:styleId="MarginEdition">
    <w:name w:val="Margin Edition"/>
    <w:basedOn w:val="MarginNote"/>
    <w:rsid w:val="006D6CF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D6CFB"/>
    <w:rPr>
      <w:sz w:val="2"/>
      <w:szCs w:val="2"/>
    </w:rPr>
  </w:style>
  <w:style w:type="character" w:customStyle="1" w:styleId="Small">
    <w:name w:val="Small"/>
    <w:basedOn w:val="DefaultParagraphFont"/>
    <w:rsid w:val="006D6CFB"/>
    <w:rPr>
      <w:sz w:val="16"/>
    </w:rPr>
  </w:style>
  <w:style w:type="paragraph" w:customStyle="1" w:styleId="WideTable">
    <w:name w:val="Wide Table"/>
    <w:basedOn w:val="Normal"/>
    <w:rsid w:val="006D6CF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D6CFB"/>
  </w:style>
  <w:style w:type="paragraph" w:styleId="Quote">
    <w:name w:val="Quote"/>
    <w:basedOn w:val="Heading1"/>
    <w:link w:val="QuoteChar"/>
    <w:qFormat/>
    <w:rsid w:val="006D6CF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D6CF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D6CFB"/>
    <w:pPr>
      <w:pageBreakBefore/>
    </w:pPr>
  </w:style>
  <w:style w:type="paragraph" w:customStyle="1" w:styleId="Border">
    <w:name w:val="Border"/>
    <w:basedOn w:val="Normal"/>
    <w:qFormat/>
    <w:rsid w:val="006D6CF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D6CF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6CF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6CF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D6CF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D6CF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D6CF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D6CF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D6CF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D6CFB"/>
    <w:rPr>
      <w:u w:val="single"/>
    </w:rPr>
  </w:style>
  <w:style w:type="character" w:customStyle="1" w:styleId="BoldandItalics">
    <w:name w:val="Bold and Italics"/>
    <w:qFormat/>
    <w:rsid w:val="006D6CFB"/>
    <w:rPr>
      <w:b/>
      <w:i/>
      <w:u w:val="none"/>
    </w:rPr>
  </w:style>
  <w:style w:type="paragraph" w:styleId="BalloonText">
    <w:name w:val="Balloon Text"/>
    <w:basedOn w:val="Normal"/>
    <w:link w:val="BalloonTextChar"/>
    <w:rsid w:val="006D6C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D6CF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D6CF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D6CF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D6CF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D6CF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D6CFB"/>
    <w:pPr>
      <w:spacing w:before="0" w:after="0"/>
    </w:pPr>
  </w:style>
  <w:style w:type="paragraph" w:customStyle="1" w:styleId="BodyTextBold">
    <w:name w:val="Body Text Bold"/>
    <w:basedOn w:val="BodyText"/>
    <w:qFormat/>
    <w:rsid w:val="006D6CFB"/>
    <w:rPr>
      <w:b/>
    </w:rPr>
  </w:style>
  <w:style w:type="character" w:styleId="Hyperlink">
    <w:name w:val="Hyperlink"/>
    <w:basedOn w:val="DefaultParagraphFont"/>
    <w:uiPriority w:val="99"/>
    <w:unhideWhenUsed/>
    <w:rsid w:val="00F71AD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910</Words>
  <Characters>6059</Characters>
  <Application>Microsoft Office Word</Application>
  <DocSecurity>0</DocSecurity>
  <Lines>201</Lines>
  <Paragraphs>99</Paragraphs>
  <ScaleCrop>false</ScaleCrop>
  <Company>Author-it Software Corporation Ltd.</Company>
  <LinksUpToDate>false</LinksUpToDate>
  <CharactersWithSpaces>6870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TLIF0043 Implement fitness for work procedures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2025-03-01T15:35:00Z</dcterms:created>
  <dcterms:modified xsi:type="dcterms:W3CDTF">2025-03-01T15:35:00Z</dcterms:modified>
</cp:coreProperties>
</file>