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76C" w:rsidP="000E6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TLIF0027 Perform lookout duties</w:t>
      </w:r>
      <w:r>
        <w:fldChar w:fldCharType="end"/>
      </w:r>
    </w:p>
    <w:p w:rsidR="000E676C" w:rsidP="000E676C">
      <w:pPr>
        <w:pStyle w:val="Version"/>
        <w:sectPr w:rsidSect="00C12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CB2" w:rsidP="00C12CB2">
      <w:pPr>
        <w:pStyle w:val="SuperHeading"/>
      </w:pPr>
      <w:r w:rsidRPr="00C12CB2">
        <w:t>TLIF0027 Perform lookout duties</w:t>
      </w:r>
    </w:p>
    <w:p w:rsidR="00000000" w:rsidRPr="00C12CB2" w:rsidP="00C12CB2">
      <w:pPr>
        <w:pStyle w:val="Heading1"/>
      </w:pPr>
      <w:bookmarkStart w:id="1" w:name="O_1193648"/>
      <w:bookmarkEnd w:id="1"/>
      <w:r w:rsidRPr="00C12C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rPr>
                <w:rStyle w:val="SpecialBold"/>
              </w:rPr>
              <w:t>Release 1</w:t>
            </w:r>
            <w:r w:rsidRPr="00C12CB2">
              <w:t>. This is the first release of this unit of competency in the TLI Transport and Logistics Training Package.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2" w:name="O_1193649"/>
      <w:bookmarkEnd w:id="2"/>
      <w:r w:rsidRPr="00C12C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 xml:space="preserve">This unit involves the skills and knowledge required to perform lookout duties on a </w:t>
            </w:r>
            <w:r w:rsidRPr="00C12CB2">
              <w:t xml:space="preserve">rail network in accordance with Rail Infrastructure Manager, legislative and regulatory requirements. </w:t>
            </w:r>
          </w:p>
          <w:p w:rsidR="00000000" w:rsidRPr="00C12CB2" w:rsidP="00C12CB2">
            <w:pPr>
              <w:pStyle w:val="BodyText"/>
            </w:pPr>
            <w:r w:rsidRPr="00C12CB2">
              <w:t>It includes taking up look position, conducting lookout duties and taking actions in unsafe situations or emergencies.</w:t>
            </w:r>
          </w:p>
          <w:p w:rsidR="00000000" w:rsidRPr="00C12CB2" w:rsidP="00C12CB2">
            <w:pPr>
              <w:pStyle w:val="BodyText"/>
            </w:pPr>
            <w:r w:rsidRPr="00C12CB2">
              <w:t>People achieving competence in thi</w:t>
            </w:r>
            <w:r w:rsidRPr="00C12CB2">
              <w:t>s unit will need to fulfil the applicable state/territory legislated rail safety requirements and to comply with relevant codes of practice and/or guidelines.</w:t>
            </w:r>
          </w:p>
          <w:p w:rsidR="00000000" w:rsidRPr="00C12CB2" w:rsidP="00C12CB2">
            <w:pPr>
              <w:pStyle w:val="BodyText"/>
            </w:pPr>
            <w:r w:rsidRPr="00C12CB2">
              <w:t xml:space="preserve">The unit includes the application of Rail Infrastructure Manager rules, procedures and protocols </w:t>
            </w:r>
            <w:r w:rsidRPr="00C12CB2">
              <w:t>for rail safety.</w:t>
            </w:r>
          </w:p>
          <w:p w:rsidR="00000000" w:rsidRPr="00C12CB2" w:rsidP="00C12CB2">
            <w:pPr>
              <w:pStyle w:val="BodyText"/>
            </w:pPr>
            <w:r w:rsidRPr="00C12CB2">
              <w:t>No licensing, legislative or certification requirements apply to this unit at the time of publication.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3" w:name="O_1193650"/>
      <w:bookmarkEnd w:id="3"/>
      <w:r w:rsidRPr="00C12C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>Not applicable.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4" w:name="O_1193651"/>
      <w:bookmarkEnd w:id="4"/>
      <w:r w:rsidRPr="00C12C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>F – Safety Management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5" w:name="O_1193652"/>
      <w:bookmarkEnd w:id="5"/>
      <w:r w:rsidRPr="00C12C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>Rail sector.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6" w:name="O_1193653"/>
      <w:bookmarkEnd w:id="6"/>
      <w:r w:rsidRPr="00C12C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"/>
        <w:gridCol w:w="2551"/>
        <w:gridCol w:w="497"/>
        <w:gridCol w:w="5887"/>
      </w:tblGrid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Performance criteria describe the performance needed to demonstrate achievement of the element.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rPr>
                <w:rStyle w:val="SpecialBold"/>
              </w:rPr>
              <w:t>Take up lookout position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Appropriate warning devices are obtained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Worksite briefing is undertaken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Danger zone is safely accessed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Location of lookout position is confirmed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Sighting distance of rail traffic is confirmed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Unsafe and/or ineffective lookout positions are identified and reported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Audible warning equipment is tested, as required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Changed environmental conditions are identified and impact on lookout positi</w:t>
            </w:r>
            <w:r w:rsidRPr="00C12CB2">
              <w:t>on is determined, continually monitored and reported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Effectiveness of lookout placement and method of communicating rail traffic movements is tested and confirmed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Bold"/>
              <w:rPr>
                <w:lang w:val="en-NZ"/>
              </w:rPr>
            </w:pPr>
            <w:r w:rsidRPr="00C12CB2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Bold"/>
            </w:pPr>
            <w:r w:rsidRPr="00C12CB2">
              <w:t>Conduct lookout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Situational awareness is maintained at all times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Approach of rail traffic is communicated using agreed methodology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 xml:space="preserve">Hand signals are used to confirm safe conditions to rail traffic in accordance with workplace procedures 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>Authority to get back on-track is confirmed and notified to relevant personnel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Bold"/>
              <w:rPr>
                <w:lang w:val="en-NZ"/>
              </w:rPr>
            </w:pPr>
            <w:r w:rsidRPr="00C12CB2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Bold"/>
            </w:pPr>
            <w:r w:rsidRPr="00C12CB2">
              <w:t>Take action in unsafe situations or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t xml:space="preserve">Unsafe situations and/or emergencies are identified and appropriate actions taken </w:t>
            </w:r>
            <w:r w:rsidRPr="00C12CB2">
              <w:t>to minimise risk in accordance with workplace procedures</w:t>
            </w:r>
          </w:p>
        </w:tc>
      </w:tr>
      <w:tr w:rsidTr="000E6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B2">
            <w:pPr>
              <w:pStyle w:val="BodyText"/>
              <w:rPr>
                <w:lang w:val="en-NZ"/>
              </w:rPr>
            </w:pPr>
            <w:r w:rsidRPr="00C12CB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>Emergencies and incidents are recorded and reported to relevant personnel in accordance with workplace procedures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7" w:name="O_1193654"/>
      <w:bookmarkEnd w:id="7"/>
      <w:r w:rsidRPr="00C12C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>Foundation skills essential to</w:t>
            </w:r>
            <w:r w:rsidRPr="00C12CB2">
              <w:t xml:space="preserve"> performance are explicit in the performance criteria of this unit of competency.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8" w:name="O_1193655"/>
      <w:bookmarkEnd w:id="8"/>
      <w:r w:rsidRPr="00C12C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>Range is restricted to essential operating conditions and any other variables essential to the work environment.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9" w:name="O_1193656"/>
      <w:bookmarkEnd w:id="9"/>
      <w:r w:rsidRPr="00C12C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B2" w:rsidP="00C12CB2">
            <w:pPr>
              <w:pStyle w:val="BodyText"/>
            </w:pPr>
            <w:r w:rsidRPr="00C12CB2">
              <w:t xml:space="preserve">This unit replaces and is equivalent to TLIF2081 Perform lookout duties. </w:t>
            </w:r>
          </w:p>
        </w:tc>
      </w:tr>
    </w:tbl>
    <w:p w:rsidR="000E676C" w:rsidP="00C12CB2">
      <w:pPr>
        <w:pStyle w:val="NoPaddingFontSize1"/>
      </w:pPr>
    </w:p>
    <w:p w:rsidR="000E676C" w:rsidP="00C12CB2">
      <w:pPr>
        <w:pStyle w:val="NoPaddingFontSize1"/>
      </w:pPr>
    </w:p>
    <w:p w:rsidR="00000000" w:rsidRPr="00C12CB2" w:rsidP="00C12CB2">
      <w:pPr>
        <w:pStyle w:val="Heading1"/>
      </w:pPr>
      <w:bookmarkStart w:id="10" w:name="O_1193663"/>
      <w:bookmarkEnd w:id="10"/>
      <w:r w:rsidRPr="00C12CB2">
        <w:t>Links</w:t>
      </w:r>
    </w:p>
    <w:p w:rsidR="00000000" w:rsidRPr="00C12CB2" w:rsidP="000E676C">
      <w:pPr>
        <w:pStyle w:val="BodyText"/>
      </w:pPr>
      <w:r w:rsidRPr="00C12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28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12CB2" w:rsidP="00C12CB2"/>
    <w:sectPr w:rsidSect="00C12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B2" w:rsidRPr="000E676C" w:rsidP="000E6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6C" w:rsidP="00C12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76C" w:rsidP="00C12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676C" w:rsidP="00C12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CB2" w:rsidRPr="000E676C" w:rsidP="000E6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6C" w:rsidRPr="002D2AF8" w:rsidP="00C12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TLIF0027 Perform lookout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E676C" w:rsidP="00C12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CB2"/>
  </w:style>
  <w:style w:type="character" w:customStyle="1" w:styleId="Heading1Char">
    <w:name w:val="Heading 1 Char"/>
    <w:basedOn w:val="DefaultParagraphFont"/>
    <w:link w:val="Heading1"/>
    <w:rsid w:val="00C12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C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2CB2"/>
    <w:rPr>
      <w:b/>
      <w:spacing w:val="0"/>
    </w:rPr>
  </w:style>
  <w:style w:type="paragraph" w:customStyle="1" w:styleId="SuperHeading">
    <w:name w:val="SuperHeading"/>
    <w:basedOn w:val="Normal"/>
    <w:rsid w:val="00C12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2CB2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2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C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2C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2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C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CB2"/>
    <w:rPr>
      <w:i/>
    </w:rPr>
  </w:style>
  <w:style w:type="paragraph" w:styleId="Caption">
    <w:name w:val="caption"/>
    <w:basedOn w:val="BodyText"/>
    <w:next w:val="Normal"/>
    <w:qFormat/>
    <w:rsid w:val="00C12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CB2"/>
  </w:style>
  <w:style w:type="paragraph" w:styleId="TableofFigures">
    <w:name w:val="table of figures"/>
    <w:basedOn w:val="Normal"/>
    <w:next w:val="Normal"/>
    <w:semiHidden/>
    <w:rsid w:val="00C12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C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2CB2"/>
    <w:rPr>
      <w:rFonts w:ascii="Wingdings" w:hAnsi="Wingdings"/>
    </w:rPr>
  </w:style>
  <w:style w:type="paragraph" w:customStyle="1" w:styleId="TableHeading">
    <w:name w:val="Table Heading"/>
    <w:basedOn w:val="HeadingBase"/>
    <w:rsid w:val="00C12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CB2"/>
    <w:rPr>
      <w:color w:val="0033CC"/>
      <w:u w:val="none"/>
    </w:rPr>
  </w:style>
  <w:style w:type="paragraph" w:customStyle="1" w:styleId="BodyTextRight">
    <w:name w:val="Body Text Right"/>
    <w:basedOn w:val="BodyText"/>
    <w:rsid w:val="00C12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C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CB2"/>
    <w:rPr>
      <w:sz w:val="32"/>
    </w:rPr>
  </w:style>
  <w:style w:type="paragraph" w:customStyle="1" w:styleId="HeadingProcedure">
    <w:name w:val="Heading Procedure"/>
    <w:basedOn w:val="HeadingBase"/>
    <w:next w:val="Normal"/>
    <w:rsid w:val="00C12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CB2"/>
    <w:pPr>
      <w:spacing w:before="60" w:after="60"/>
    </w:pPr>
  </w:style>
  <w:style w:type="paragraph" w:styleId="ListContinue">
    <w:name w:val="List Continue"/>
    <w:basedOn w:val="List"/>
    <w:rsid w:val="00C12CB2"/>
    <w:pPr>
      <w:ind w:firstLine="0"/>
    </w:pPr>
  </w:style>
  <w:style w:type="paragraph" w:customStyle="1" w:styleId="ListNote">
    <w:name w:val="List Note"/>
    <w:basedOn w:val="List"/>
    <w:rsid w:val="00C12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CB2"/>
    <w:rPr>
      <w:rFonts w:ascii="Courier New" w:hAnsi="Courier New"/>
    </w:rPr>
  </w:style>
  <w:style w:type="paragraph" w:customStyle="1" w:styleId="NoteBullet">
    <w:name w:val="Note Bullet"/>
    <w:basedOn w:val="Note"/>
    <w:rsid w:val="00C12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C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2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CB2"/>
    <w:rPr>
      <w:b/>
      <w:smallCaps/>
    </w:rPr>
  </w:style>
  <w:style w:type="paragraph" w:customStyle="1" w:styleId="TableListNumber">
    <w:name w:val="Table List Number"/>
    <w:basedOn w:val="ListNumber"/>
    <w:rsid w:val="00C12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CB2"/>
    <w:pPr>
      <w:numPr>
        <w:numId w:val="7"/>
      </w:numPr>
    </w:pPr>
  </w:style>
  <w:style w:type="paragraph" w:customStyle="1" w:styleId="ListAlpha2">
    <w:name w:val="List Alpha 2"/>
    <w:basedOn w:val="List2"/>
    <w:rsid w:val="00C12CB2"/>
    <w:pPr>
      <w:numPr>
        <w:numId w:val="6"/>
      </w:numPr>
    </w:pPr>
  </w:style>
  <w:style w:type="paragraph" w:styleId="List2">
    <w:name w:val="List 2"/>
    <w:basedOn w:val="BodyText"/>
    <w:rsid w:val="00C12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C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C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2CB2"/>
    <w:pPr>
      <w:numPr>
        <w:numId w:val="2"/>
      </w:numPr>
    </w:pPr>
  </w:style>
  <w:style w:type="paragraph" w:styleId="ListContinue2">
    <w:name w:val="List Continue 2"/>
    <w:basedOn w:val="List2"/>
    <w:rsid w:val="00C12CB2"/>
    <w:pPr>
      <w:ind w:firstLine="0"/>
    </w:pPr>
  </w:style>
  <w:style w:type="paragraph" w:styleId="ListContinue3">
    <w:name w:val="List Continue 3"/>
    <w:basedOn w:val="List3"/>
    <w:rsid w:val="00C12CB2"/>
    <w:pPr>
      <w:ind w:left="1021" w:firstLine="0"/>
    </w:pPr>
  </w:style>
  <w:style w:type="paragraph" w:styleId="ListContinue4">
    <w:name w:val="List Continue 4"/>
    <w:basedOn w:val="List4"/>
    <w:rsid w:val="00C12CB2"/>
    <w:pPr>
      <w:ind w:firstLine="0"/>
    </w:pPr>
  </w:style>
  <w:style w:type="paragraph" w:styleId="ListContinue5">
    <w:name w:val="List Continue 5"/>
    <w:basedOn w:val="List5"/>
    <w:rsid w:val="00C12CB2"/>
    <w:pPr>
      <w:ind w:firstLine="0"/>
    </w:pPr>
  </w:style>
  <w:style w:type="paragraph" w:styleId="ListNumber3">
    <w:name w:val="List Number 3"/>
    <w:basedOn w:val="List3"/>
    <w:rsid w:val="00C12CB2"/>
    <w:pPr>
      <w:numPr>
        <w:numId w:val="3"/>
      </w:numPr>
    </w:pPr>
  </w:style>
  <w:style w:type="paragraph" w:styleId="ListNumber4">
    <w:name w:val="List Number 4"/>
    <w:basedOn w:val="List4"/>
    <w:rsid w:val="00C12CB2"/>
    <w:pPr>
      <w:numPr>
        <w:numId w:val="4"/>
      </w:numPr>
    </w:pPr>
  </w:style>
  <w:style w:type="paragraph" w:styleId="ListNumber5">
    <w:name w:val="List Number 5"/>
    <w:basedOn w:val="List5"/>
    <w:rsid w:val="00C12CB2"/>
    <w:pPr>
      <w:numPr>
        <w:numId w:val="5"/>
      </w:numPr>
    </w:pPr>
  </w:style>
  <w:style w:type="paragraph" w:styleId="BlockText">
    <w:name w:val="Block Text"/>
    <w:basedOn w:val="Normal"/>
    <w:rsid w:val="00C12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CB2"/>
    <w:rPr>
      <w:sz w:val="16"/>
      <w:vertAlign w:val="superscript"/>
    </w:rPr>
  </w:style>
  <w:style w:type="character" w:customStyle="1" w:styleId="Symbols">
    <w:name w:val="Symbols"/>
    <w:basedOn w:val="DefaultParagraphFont"/>
    <w:rsid w:val="00C12CB2"/>
    <w:rPr>
      <w:rFonts w:ascii="Symbol" w:hAnsi="Symbol"/>
    </w:rPr>
  </w:style>
  <w:style w:type="character" w:customStyle="1" w:styleId="MenuOptions">
    <w:name w:val="Menu Options"/>
    <w:basedOn w:val="DefaultParagraphFont"/>
    <w:rsid w:val="00C12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CB2"/>
    <w:rPr>
      <w:b/>
    </w:rPr>
  </w:style>
  <w:style w:type="character" w:customStyle="1" w:styleId="Underlined">
    <w:name w:val="Underlined"/>
    <w:basedOn w:val="DefaultParagraphFont"/>
    <w:rsid w:val="00C12CB2"/>
    <w:rPr>
      <w:u w:val="single"/>
    </w:rPr>
  </w:style>
  <w:style w:type="paragraph" w:customStyle="1" w:styleId="TableBodyTextRight">
    <w:name w:val="Table Body Text Right"/>
    <w:basedOn w:val="TableBodyText"/>
    <w:rsid w:val="00C12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CB2"/>
    <w:rPr>
      <w:sz w:val="18"/>
    </w:rPr>
  </w:style>
  <w:style w:type="paragraph" w:customStyle="1" w:styleId="BodySmallRight">
    <w:name w:val="Body Small Right"/>
    <w:basedOn w:val="BodyTextRight"/>
    <w:rsid w:val="00C12CB2"/>
    <w:rPr>
      <w:sz w:val="18"/>
      <w:szCs w:val="18"/>
    </w:rPr>
  </w:style>
  <w:style w:type="paragraph" w:customStyle="1" w:styleId="MarginEdition">
    <w:name w:val="Margin Edition"/>
    <w:basedOn w:val="MarginNote"/>
    <w:rsid w:val="00C12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CB2"/>
    <w:rPr>
      <w:sz w:val="2"/>
      <w:szCs w:val="2"/>
    </w:rPr>
  </w:style>
  <w:style w:type="character" w:customStyle="1" w:styleId="Small">
    <w:name w:val="Small"/>
    <w:basedOn w:val="DefaultParagraphFont"/>
    <w:rsid w:val="00C12CB2"/>
    <w:rPr>
      <w:sz w:val="16"/>
    </w:rPr>
  </w:style>
  <w:style w:type="paragraph" w:customStyle="1" w:styleId="WideTable">
    <w:name w:val="Wide Table"/>
    <w:basedOn w:val="Normal"/>
    <w:rsid w:val="00C12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CB2"/>
  </w:style>
  <w:style w:type="paragraph" w:styleId="Quote">
    <w:name w:val="Quote"/>
    <w:basedOn w:val="Heading1"/>
    <w:link w:val="QuoteChar"/>
    <w:qFormat/>
    <w:rsid w:val="00C12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CB2"/>
    <w:pPr>
      <w:pageBreakBefore/>
    </w:pPr>
  </w:style>
  <w:style w:type="paragraph" w:customStyle="1" w:styleId="Border">
    <w:name w:val="Border"/>
    <w:basedOn w:val="Normal"/>
    <w:qFormat/>
    <w:rsid w:val="00C12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CB2"/>
    <w:rPr>
      <w:u w:val="single"/>
    </w:rPr>
  </w:style>
  <w:style w:type="character" w:customStyle="1" w:styleId="BoldandItalics">
    <w:name w:val="Bold and Italics"/>
    <w:qFormat/>
    <w:rsid w:val="00C12CB2"/>
    <w:rPr>
      <w:b/>
      <w:i/>
      <w:u w:val="none"/>
    </w:rPr>
  </w:style>
  <w:style w:type="paragraph" w:styleId="BalloonText">
    <w:name w:val="Balloon Text"/>
    <w:basedOn w:val="Normal"/>
    <w:link w:val="BalloonTextChar"/>
    <w:rsid w:val="00C12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C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6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3065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TLIF0027 Perform lookout duties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