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3C7" w:rsidP="00E82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TLIF0025 Follow work health and safety procedures</w:t>
      </w:r>
      <w:r>
        <w:fldChar w:fldCharType="end"/>
      </w:r>
    </w:p>
    <w:p w:rsidR="00E823C7" w:rsidP="00E823C7">
      <w:pPr>
        <w:pStyle w:val="Version"/>
        <w:sectPr w:rsidSect="00315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BE9" w:rsidP="00315BE9">
      <w:pPr>
        <w:pStyle w:val="SuperHeading"/>
      </w:pPr>
      <w:r w:rsidRPr="00315BE9">
        <w:t>TLIF0025 Follow work health and safety procedures</w:t>
      </w:r>
    </w:p>
    <w:p w:rsidR="00000000" w:rsidRPr="00315BE9" w:rsidP="00315BE9">
      <w:pPr>
        <w:pStyle w:val="Heading1"/>
      </w:pPr>
      <w:bookmarkStart w:id="1" w:name="O_1193516"/>
      <w:bookmarkEnd w:id="1"/>
      <w:r w:rsidRPr="00315B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rPr>
                <w:rStyle w:val="SpecialBold"/>
              </w:rPr>
              <w:t>Release 1.</w:t>
            </w:r>
            <w:r w:rsidRPr="00315BE9">
              <w:t xml:space="preserve"> This is the first release of this unit of competency in the TLI Transport and Logistics Training Package.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2" w:name="O_1193517"/>
      <w:bookmarkEnd w:id="2"/>
      <w:r w:rsidRPr="00315B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 xml:space="preserve">This unit involves the skills and knowledge required to follow work health </w:t>
            </w:r>
            <w:r w:rsidRPr="00315BE9">
              <w:t>and safety (WHS)/occupational, health and safety (OHS) procedures.</w:t>
            </w:r>
          </w:p>
          <w:p w:rsidR="00000000" w:rsidRPr="00315BE9" w:rsidP="00315BE9">
            <w:pPr>
              <w:pStyle w:val="BodyText"/>
            </w:pPr>
            <w:r w:rsidRPr="00315BE9">
              <w:t xml:space="preserve">It includes following workplace procedures for hazard identification and risk control, contributing to WHS/OHS management arrangements and completing WHS/OHS records. </w:t>
            </w:r>
          </w:p>
          <w:p w:rsidR="00000000" w:rsidRPr="00315BE9" w:rsidP="00315BE9">
            <w:pPr>
              <w:pStyle w:val="BodyText"/>
            </w:pPr>
            <w:r w:rsidRPr="00315BE9">
              <w:t>Work is performed und</w:t>
            </w:r>
            <w:r w:rsidRPr="00315BE9">
              <w:t>er some supervision generally within a team environment. It involves applying established WHS/OHS and hazard minimisation principles and procedures to conduct workplace activities.</w:t>
            </w:r>
          </w:p>
          <w:p w:rsidR="00000000" w:rsidRPr="00315BE9" w:rsidP="00315BE9">
            <w:pPr>
              <w:pStyle w:val="BodyText"/>
            </w:pPr>
            <w:r w:rsidRPr="00315BE9">
              <w:t xml:space="preserve">No licensing, legislative or certification requirements apply to this unit </w:t>
            </w:r>
            <w:r w:rsidRPr="00315BE9">
              <w:t>at the time of publication.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3" w:name="O_1193518"/>
      <w:bookmarkEnd w:id="3"/>
      <w:r w:rsidRPr="00315B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Not applicable.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4" w:name="O_1193519"/>
      <w:bookmarkEnd w:id="4"/>
      <w:r w:rsidRPr="00315B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F – Safety Management.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5" w:name="O_1193520"/>
      <w:bookmarkEnd w:id="5"/>
      <w:r w:rsidRPr="00315B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Not applicable.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6" w:name="O_1193521"/>
      <w:bookmarkEnd w:id="6"/>
      <w:r w:rsidRPr="00315BE9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994"/>
        <w:gridCol w:w="45"/>
        <w:gridCol w:w="520"/>
        <w:gridCol w:w="5664"/>
        <w:gridCol w:w="134"/>
      </w:tblGrid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4" w:type="dxa"/>
        </w:trPr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rPr>
                <w:rStyle w:val="SpecialBold"/>
              </w:rPr>
              <w:t>ELEMENTS</w:t>
            </w:r>
          </w:p>
        </w:tc>
        <w:tc>
          <w:tcPr>
            <w:tcW w:w="62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PERFORMANCE CRITERIA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4" w:type="dxa"/>
        </w:trPr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Elements describe the essential outcomes.</w:t>
            </w:r>
          </w:p>
        </w:tc>
        <w:tc>
          <w:tcPr>
            <w:tcW w:w="62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Performance criteria describe the performance needed to demonstrate achievement of the element.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rPr>
                <w:rStyle w:val="SpecialBold"/>
              </w:rPr>
              <w:t>1</w:t>
            </w:r>
          </w:p>
        </w:tc>
        <w:tc>
          <w:tcPr>
            <w:tcW w:w="30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rPr>
                <w:rStyle w:val="SpecialBold"/>
              </w:rPr>
              <w:t xml:space="preserve">Follow workplace procedures for hazard identification and risk </w:t>
            </w:r>
            <w:r w:rsidRPr="00315BE9">
              <w:rPr>
                <w:rStyle w:val="SpecialBold"/>
              </w:rPr>
              <w:t>control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1.1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Legislation and workplace procedures for dealing with incidents, hazards and emergencies are identified and followed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1.2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Legislation and workplace procedures for WHS/OHS and related work instructions for controlling risks in a workplace are followed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1.3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External hazards to the workplace are identified and appropriate actions taken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1.4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Hazards in the workplace are identified and appropriate actions taken to report them and to minimise or eliminate risk to personnel, workplace and the environment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1.5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Hygiene practices, health and wellbeing for self and others is implemented, monitored and reported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1.6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Procedures necessary for entry into restricted areas requiring permits are known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1.7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Personal protection equipment (PPE) is checked and correctly used in accordance with safety practices and procedures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1.8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Containers and goods coding, markings and emergency information panels are identified and understood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rPr>
                <w:rStyle w:val="SpecialBold"/>
              </w:rPr>
              <w:t>2</w:t>
            </w:r>
          </w:p>
        </w:tc>
        <w:tc>
          <w:tcPr>
            <w:tcW w:w="30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Bold"/>
            </w:pPr>
            <w:r w:rsidRPr="00315BE9">
              <w:rPr>
                <w:rStyle w:val="SpecialBold"/>
              </w:rPr>
              <w:t xml:space="preserve">Contribute to </w:t>
            </w:r>
            <w:r w:rsidRPr="00315BE9">
              <w:t xml:space="preserve">WHS/OHS </w:t>
            </w:r>
            <w:r w:rsidRPr="00315BE9">
              <w:rPr>
                <w:rStyle w:val="SpecialBold"/>
              </w:rPr>
              <w:t>compliance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2.1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 xml:space="preserve">WHS/OHS issues and identified safety hazards are raised with designated personnel in accordance with relevant WHS/OHS legislation and workplace procedures 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2.2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 xml:space="preserve">Contributions to managing WHS/OHS in the workplace are made in accordance with relevant legislation and workplace procedures 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2.3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t>Assigned housekeeping duties are conducted in accordance with workplace procedures</w:t>
            </w:r>
          </w:p>
        </w:tc>
      </w:tr>
      <w:tr w:rsidTr="00315BE9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>
            <w:pPr>
              <w:pStyle w:val="BodyText"/>
              <w:keepLines w:val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BE9">
            <w:pPr>
              <w:pStyle w:val="BodyText"/>
              <w:rPr>
                <w:lang w:val="en-NZ"/>
              </w:rPr>
            </w:pPr>
            <w:r w:rsidRPr="00315BE9">
              <w:rPr>
                <w:rStyle w:val="SpecialBold"/>
              </w:rPr>
              <w:t>2.4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WHS/OHS records are completed and</w:t>
            </w:r>
            <w:r w:rsidRPr="00315BE9">
              <w:t xml:space="preserve"> maintained in accordance with relevant legislation and workplace procedures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7" w:name="O_1193522"/>
      <w:bookmarkEnd w:id="7"/>
      <w:r w:rsidRPr="00315B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Foundation skills essential to performance are explicit in the performance criteria of this unit of competency.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8" w:name="O_1193523"/>
      <w:bookmarkEnd w:id="8"/>
      <w:r w:rsidRPr="00315B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 xml:space="preserve">Range is restricted to essential operating conditions and any other variables essential to the work </w:t>
            </w:r>
            <w:r w:rsidRPr="00315BE9">
              <w:t>environment.</w:t>
            </w:r>
          </w:p>
          <w:p w:rsidR="00000000" w:rsidRPr="00315BE9" w:rsidP="00315BE9">
            <w:pPr>
              <w:pStyle w:val="BodyText"/>
            </w:pPr>
            <w:r w:rsidRPr="00315BE9">
              <w:t>Non-essential conditions can be found in the TLI Transport and Logistics Training Package Companion Volume Implementation G</w:t>
            </w:r>
            <w:r w:rsidRPr="00315BE9">
              <w:t>uide.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9" w:name="O_1193525"/>
      <w:bookmarkEnd w:id="9"/>
      <w:r w:rsidRPr="00315B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B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BE9" w:rsidP="00315BE9">
            <w:pPr>
              <w:pStyle w:val="BodyText"/>
            </w:pPr>
            <w:r w:rsidRPr="00315BE9">
              <w:t>This unit replaces and is equivalent to TLIF1001 Follow occupational health and safety procedures.</w:t>
            </w:r>
          </w:p>
        </w:tc>
      </w:tr>
    </w:tbl>
    <w:p w:rsidR="00E823C7" w:rsidP="00315BE9">
      <w:pPr>
        <w:pStyle w:val="NoPaddingFontSize1"/>
      </w:pPr>
    </w:p>
    <w:p w:rsidR="00E823C7" w:rsidP="00315BE9">
      <w:pPr>
        <w:pStyle w:val="NoPaddingFontSize1"/>
      </w:pPr>
    </w:p>
    <w:p w:rsidR="00000000" w:rsidRPr="00315BE9" w:rsidP="00315BE9">
      <w:pPr>
        <w:pStyle w:val="Heading1"/>
      </w:pPr>
      <w:bookmarkStart w:id="10" w:name="O_1193547"/>
      <w:bookmarkEnd w:id="10"/>
      <w:r w:rsidRPr="00315BE9">
        <w:t>Links</w:t>
      </w:r>
    </w:p>
    <w:p w:rsidR="00000000" w:rsidRPr="00315BE9" w:rsidP="00E823C7">
      <w:pPr>
        <w:pStyle w:val="BodyText"/>
      </w:pPr>
      <w:r w:rsidRPr="00315B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21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5BE9" w:rsidP="00315BE9"/>
    <w:sectPr w:rsidSect="00315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9" w:rsidRPr="00E823C7" w:rsidP="00E82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P="00315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3C7" w:rsidP="00315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23C7" w:rsidP="00315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BE9" w:rsidRPr="00E823C7" w:rsidP="00E82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RPr="002D2AF8" w:rsidP="00315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TLIF0025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23C7" w:rsidP="00315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BE9"/>
  </w:style>
  <w:style w:type="character" w:customStyle="1" w:styleId="Heading1Char">
    <w:name w:val="Heading 1 Char"/>
    <w:basedOn w:val="DefaultParagraphFont"/>
    <w:link w:val="Heading1"/>
    <w:rsid w:val="00315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B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5BE9"/>
    <w:rPr>
      <w:b/>
      <w:spacing w:val="0"/>
    </w:rPr>
  </w:style>
  <w:style w:type="paragraph" w:customStyle="1" w:styleId="SuperHeading">
    <w:name w:val="SuperHeading"/>
    <w:basedOn w:val="Normal"/>
    <w:rsid w:val="00315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5BE9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5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B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B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5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B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BE9"/>
    <w:rPr>
      <w:i/>
    </w:rPr>
  </w:style>
  <w:style w:type="paragraph" w:styleId="Caption">
    <w:name w:val="caption"/>
    <w:basedOn w:val="BodyText"/>
    <w:next w:val="Normal"/>
    <w:qFormat/>
    <w:rsid w:val="00315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BE9"/>
  </w:style>
  <w:style w:type="paragraph" w:styleId="TableofFigures">
    <w:name w:val="table of figures"/>
    <w:basedOn w:val="Normal"/>
    <w:next w:val="Normal"/>
    <w:semiHidden/>
    <w:rsid w:val="00315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B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5BE9"/>
    <w:rPr>
      <w:rFonts w:ascii="Wingdings" w:hAnsi="Wingdings"/>
    </w:rPr>
  </w:style>
  <w:style w:type="paragraph" w:customStyle="1" w:styleId="TableHeading">
    <w:name w:val="Table Heading"/>
    <w:basedOn w:val="HeadingBase"/>
    <w:rsid w:val="00315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BE9"/>
    <w:rPr>
      <w:color w:val="0033CC"/>
      <w:u w:val="none"/>
    </w:rPr>
  </w:style>
  <w:style w:type="paragraph" w:customStyle="1" w:styleId="BodyTextRight">
    <w:name w:val="Body Text Right"/>
    <w:basedOn w:val="BodyText"/>
    <w:rsid w:val="00315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B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BE9"/>
    <w:rPr>
      <w:sz w:val="32"/>
    </w:rPr>
  </w:style>
  <w:style w:type="paragraph" w:customStyle="1" w:styleId="HeadingProcedure">
    <w:name w:val="Heading Procedure"/>
    <w:basedOn w:val="HeadingBase"/>
    <w:next w:val="Normal"/>
    <w:rsid w:val="00315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BE9"/>
    <w:pPr>
      <w:spacing w:before="60" w:after="60"/>
    </w:pPr>
  </w:style>
  <w:style w:type="paragraph" w:styleId="ListContinue">
    <w:name w:val="List Continue"/>
    <w:basedOn w:val="List"/>
    <w:rsid w:val="00315BE9"/>
    <w:pPr>
      <w:ind w:firstLine="0"/>
    </w:pPr>
  </w:style>
  <w:style w:type="paragraph" w:customStyle="1" w:styleId="ListNote">
    <w:name w:val="List Note"/>
    <w:basedOn w:val="List"/>
    <w:rsid w:val="00315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BE9"/>
    <w:rPr>
      <w:rFonts w:ascii="Courier New" w:hAnsi="Courier New"/>
    </w:rPr>
  </w:style>
  <w:style w:type="paragraph" w:customStyle="1" w:styleId="NoteBullet">
    <w:name w:val="Note Bullet"/>
    <w:basedOn w:val="Note"/>
    <w:rsid w:val="00315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B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5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BE9"/>
    <w:rPr>
      <w:b/>
      <w:smallCaps/>
    </w:rPr>
  </w:style>
  <w:style w:type="paragraph" w:customStyle="1" w:styleId="TableListNumber">
    <w:name w:val="Table List Number"/>
    <w:basedOn w:val="ListNumber"/>
    <w:rsid w:val="00315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BE9"/>
    <w:pPr>
      <w:numPr>
        <w:numId w:val="7"/>
      </w:numPr>
    </w:pPr>
  </w:style>
  <w:style w:type="paragraph" w:customStyle="1" w:styleId="ListAlpha2">
    <w:name w:val="List Alpha 2"/>
    <w:basedOn w:val="List2"/>
    <w:rsid w:val="00315BE9"/>
    <w:pPr>
      <w:numPr>
        <w:numId w:val="6"/>
      </w:numPr>
    </w:pPr>
  </w:style>
  <w:style w:type="paragraph" w:styleId="List2">
    <w:name w:val="List 2"/>
    <w:basedOn w:val="BodyText"/>
    <w:rsid w:val="00315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B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B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5BE9"/>
    <w:pPr>
      <w:numPr>
        <w:numId w:val="2"/>
      </w:numPr>
    </w:pPr>
  </w:style>
  <w:style w:type="paragraph" w:styleId="ListContinue2">
    <w:name w:val="List Continue 2"/>
    <w:basedOn w:val="List2"/>
    <w:rsid w:val="00315BE9"/>
    <w:pPr>
      <w:ind w:firstLine="0"/>
    </w:pPr>
  </w:style>
  <w:style w:type="paragraph" w:styleId="ListContinue3">
    <w:name w:val="List Continue 3"/>
    <w:basedOn w:val="List3"/>
    <w:rsid w:val="00315BE9"/>
    <w:pPr>
      <w:ind w:left="1021" w:firstLine="0"/>
    </w:pPr>
  </w:style>
  <w:style w:type="paragraph" w:styleId="ListContinue4">
    <w:name w:val="List Continue 4"/>
    <w:basedOn w:val="List4"/>
    <w:rsid w:val="00315BE9"/>
    <w:pPr>
      <w:ind w:firstLine="0"/>
    </w:pPr>
  </w:style>
  <w:style w:type="paragraph" w:styleId="ListContinue5">
    <w:name w:val="List Continue 5"/>
    <w:basedOn w:val="List5"/>
    <w:rsid w:val="00315BE9"/>
    <w:pPr>
      <w:ind w:firstLine="0"/>
    </w:pPr>
  </w:style>
  <w:style w:type="paragraph" w:styleId="ListNumber3">
    <w:name w:val="List Number 3"/>
    <w:basedOn w:val="List3"/>
    <w:rsid w:val="00315BE9"/>
    <w:pPr>
      <w:numPr>
        <w:numId w:val="3"/>
      </w:numPr>
    </w:pPr>
  </w:style>
  <w:style w:type="paragraph" w:styleId="ListNumber4">
    <w:name w:val="List Number 4"/>
    <w:basedOn w:val="List4"/>
    <w:rsid w:val="00315BE9"/>
    <w:pPr>
      <w:numPr>
        <w:numId w:val="4"/>
      </w:numPr>
    </w:pPr>
  </w:style>
  <w:style w:type="paragraph" w:styleId="ListNumber5">
    <w:name w:val="List Number 5"/>
    <w:basedOn w:val="List5"/>
    <w:rsid w:val="00315BE9"/>
    <w:pPr>
      <w:numPr>
        <w:numId w:val="5"/>
      </w:numPr>
    </w:pPr>
  </w:style>
  <w:style w:type="paragraph" w:styleId="BlockText">
    <w:name w:val="Block Text"/>
    <w:basedOn w:val="Normal"/>
    <w:rsid w:val="00315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BE9"/>
    <w:rPr>
      <w:sz w:val="16"/>
      <w:vertAlign w:val="superscript"/>
    </w:rPr>
  </w:style>
  <w:style w:type="character" w:customStyle="1" w:styleId="Symbols">
    <w:name w:val="Symbols"/>
    <w:basedOn w:val="DefaultParagraphFont"/>
    <w:rsid w:val="00315BE9"/>
    <w:rPr>
      <w:rFonts w:ascii="Symbol" w:hAnsi="Symbol"/>
    </w:rPr>
  </w:style>
  <w:style w:type="character" w:customStyle="1" w:styleId="MenuOptions">
    <w:name w:val="Menu Options"/>
    <w:basedOn w:val="DefaultParagraphFont"/>
    <w:rsid w:val="00315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BE9"/>
    <w:rPr>
      <w:b/>
    </w:rPr>
  </w:style>
  <w:style w:type="character" w:customStyle="1" w:styleId="Underlined">
    <w:name w:val="Underlined"/>
    <w:basedOn w:val="DefaultParagraphFont"/>
    <w:rsid w:val="00315BE9"/>
    <w:rPr>
      <w:u w:val="single"/>
    </w:rPr>
  </w:style>
  <w:style w:type="paragraph" w:customStyle="1" w:styleId="TableBodyTextRight">
    <w:name w:val="Table Body Text Right"/>
    <w:basedOn w:val="TableBodyText"/>
    <w:rsid w:val="00315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BE9"/>
    <w:rPr>
      <w:sz w:val="18"/>
    </w:rPr>
  </w:style>
  <w:style w:type="paragraph" w:customStyle="1" w:styleId="BodySmallRight">
    <w:name w:val="Body Small Right"/>
    <w:basedOn w:val="BodyTextRight"/>
    <w:rsid w:val="00315BE9"/>
    <w:rPr>
      <w:sz w:val="18"/>
      <w:szCs w:val="18"/>
    </w:rPr>
  </w:style>
  <w:style w:type="paragraph" w:customStyle="1" w:styleId="MarginEdition">
    <w:name w:val="Margin Edition"/>
    <w:basedOn w:val="MarginNote"/>
    <w:rsid w:val="00315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BE9"/>
    <w:rPr>
      <w:sz w:val="2"/>
      <w:szCs w:val="2"/>
    </w:rPr>
  </w:style>
  <w:style w:type="character" w:customStyle="1" w:styleId="Small">
    <w:name w:val="Small"/>
    <w:basedOn w:val="DefaultParagraphFont"/>
    <w:rsid w:val="00315BE9"/>
    <w:rPr>
      <w:sz w:val="16"/>
    </w:rPr>
  </w:style>
  <w:style w:type="paragraph" w:customStyle="1" w:styleId="WideTable">
    <w:name w:val="Wide Table"/>
    <w:basedOn w:val="Normal"/>
    <w:rsid w:val="00315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BE9"/>
  </w:style>
  <w:style w:type="paragraph" w:styleId="Quote">
    <w:name w:val="Quote"/>
    <w:basedOn w:val="Heading1"/>
    <w:link w:val="QuoteChar"/>
    <w:qFormat/>
    <w:rsid w:val="00315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BE9"/>
    <w:pPr>
      <w:pageBreakBefore/>
    </w:pPr>
  </w:style>
  <w:style w:type="paragraph" w:customStyle="1" w:styleId="Border">
    <w:name w:val="Border"/>
    <w:basedOn w:val="Normal"/>
    <w:qFormat/>
    <w:rsid w:val="00315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BE9"/>
    <w:rPr>
      <w:u w:val="single"/>
    </w:rPr>
  </w:style>
  <w:style w:type="character" w:customStyle="1" w:styleId="BoldandItalics">
    <w:name w:val="Bold and Italics"/>
    <w:qFormat/>
    <w:rsid w:val="00315BE9"/>
    <w:rPr>
      <w:b/>
      <w:i/>
      <w:u w:val="none"/>
    </w:rPr>
  </w:style>
  <w:style w:type="paragraph" w:styleId="BalloonText">
    <w:name w:val="Balloon Text"/>
    <w:basedOn w:val="Normal"/>
    <w:link w:val="BalloonTextChar"/>
    <w:rsid w:val="00315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B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2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3116</Characters>
  <Application>Microsoft Office Word</Application>
  <DocSecurity>0</DocSecurity>
  <Lines>148</Lines>
  <Paragraphs>70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TLIF0025 Follow work health and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