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829" w:rsidP="00273829">
      <w:pPr>
        <w:pStyle w:val="Title"/>
      </w:pPr>
      <w:r>
        <w:fldChar w:fldCharType="begin"/>
      </w:r>
      <w:r>
        <w:instrText xml:space="preserve"> TITLE   \* MERGEFORMAT </w:instrText>
      </w:r>
      <w:r>
        <w:fldChar w:fldCharType="separate"/>
      </w:r>
      <w:r>
        <w:t>TLIF0021 Administer the implementation of fatigue management strategies</w:t>
      </w:r>
      <w:r>
        <w:fldChar w:fldCharType="end"/>
      </w:r>
    </w:p>
    <w:p w:rsidR="00273829" w:rsidP="00273829">
      <w:pPr>
        <w:pStyle w:val="Version"/>
        <w:sectPr w:rsidSect="000E42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286" w:rsidP="000E4286">
      <w:pPr>
        <w:pStyle w:val="SuperHeading"/>
      </w:pPr>
      <w:r w:rsidRPr="000E4286">
        <w:t>TLIF0021 Administer the implementation of fatigue management strategies</w:t>
      </w:r>
    </w:p>
    <w:p w:rsidR="00000000" w:rsidRPr="000E4286" w:rsidP="000E4286">
      <w:pPr>
        <w:pStyle w:val="Heading1"/>
      </w:pPr>
      <w:bookmarkStart w:id="1" w:name="O_1193260"/>
      <w:bookmarkEnd w:id="1"/>
      <w:r w:rsidRPr="000E4286">
        <w:t>Modification History</w:t>
      </w:r>
    </w:p>
    <w:tbl>
      <w:tblPr>
        <w:tblW w:w="9497" w:type="dxa"/>
        <w:tblLayout w:type="fixed"/>
        <w:tblCellMar>
          <w:left w:w="62" w:type="dxa"/>
          <w:right w:w="62" w:type="dxa"/>
        </w:tblCellMar>
        <w:tblLook w:val="0000"/>
      </w:tblPr>
      <w:tblGrid>
        <w:gridCol w:w="9497"/>
      </w:tblGrid>
      <w:tr w:rsidTr="000E4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rPr>
                <w:rStyle w:val="SpecialBold"/>
              </w:rPr>
              <w:t>Release 1.</w:t>
            </w:r>
            <w:r w:rsidRPr="000E4286">
              <w:t xml:space="preserve"> This is the first release of this unit of competency in the TLI Transport and Logistics Training Package.</w:t>
            </w:r>
          </w:p>
        </w:tc>
      </w:tr>
    </w:tbl>
    <w:p w:rsidR="00273829" w:rsidP="000E4286">
      <w:pPr>
        <w:pStyle w:val="NoPaddingFontSize1"/>
      </w:pPr>
    </w:p>
    <w:p w:rsidR="00273829" w:rsidP="000E4286">
      <w:pPr>
        <w:pStyle w:val="NoPaddingFontSize1"/>
      </w:pPr>
    </w:p>
    <w:p w:rsidR="00000000" w:rsidRPr="000E4286" w:rsidP="000E4286">
      <w:pPr>
        <w:pStyle w:val="Heading1"/>
      </w:pPr>
      <w:bookmarkStart w:id="2" w:name="O_1193261"/>
      <w:bookmarkEnd w:id="2"/>
      <w:r w:rsidRPr="000E4286">
        <w:t>Application</w:t>
      </w:r>
    </w:p>
    <w:tbl>
      <w:tblPr>
        <w:tblW w:w="9497" w:type="dxa"/>
        <w:tblLayout w:type="fixed"/>
        <w:tblCellMar>
          <w:left w:w="62" w:type="dxa"/>
          <w:right w:w="62" w:type="dxa"/>
        </w:tblCellMar>
        <w:tblLook w:val="0000"/>
      </w:tblPr>
      <w:tblGrid>
        <w:gridCol w:w="9497"/>
      </w:tblGrid>
      <w:tr w:rsidTr="000E4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t>This unit involves the skills and knowledge required to administer the implementation of fatigue management strategies.</w:t>
            </w:r>
          </w:p>
          <w:p w:rsidR="00000000" w:rsidRPr="000E4286" w:rsidP="000E4286">
            <w:pPr>
              <w:pStyle w:val="BodyText"/>
            </w:pPr>
            <w:r w:rsidRPr="000E4286">
              <w:t>It includes monitoring the implementation of fatigue management strategies; recognising breaches of fatigue management polic</w:t>
            </w:r>
            <w:r w:rsidRPr="000E4286">
              <w:t>ies, procedures and regulations; and developing and assessing staff competence in fatigue management. It also includes providing feedback to staff on deficiencies in their fatigue management skills and knowledge and reporting to management on the implement</w:t>
            </w:r>
            <w:r w:rsidRPr="000E4286">
              <w:t>ation of fatigue management policy.</w:t>
            </w:r>
          </w:p>
          <w:p w:rsidR="00000000" w:rsidRPr="000E4286" w:rsidP="000E4286">
            <w:pPr>
              <w:pStyle w:val="BodyText"/>
            </w:pPr>
            <w:r w:rsidRPr="000E4286">
              <w:t>Work is performed under limited supervision generally as a team leader or supervisor.</w:t>
            </w:r>
          </w:p>
          <w:p w:rsidR="00000000" w:rsidRPr="000E4286" w:rsidP="000E4286">
            <w:pPr>
              <w:pStyle w:val="BodyText"/>
            </w:pPr>
            <w:r w:rsidRPr="000E4286">
              <w:t>No licensing, legislative or certification requirements apply to this unit at the time of publication.</w:t>
            </w:r>
          </w:p>
        </w:tc>
      </w:tr>
    </w:tbl>
    <w:p w:rsidR="00273829" w:rsidP="000E4286">
      <w:pPr>
        <w:pStyle w:val="NoPaddingFontSize1"/>
      </w:pPr>
    </w:p>
    <w:p w:rsidR="00273829" w:rsidP="000E4286">
      <w:pPr>
        <w:pStyle w:val="NoPaddingFontSize1"/>
      </w:pPr>
    </w:p>
    <w:p w:rsidR="00000000" w:rsidRPr="000E4286" w:rsidP="000E4286">
      <w:pPr>
        <w:pStyle w:val="Heading1"/>
      </w:pPr>
      <w:bookmarkStart w:id="3" w:name="O_1193262"/>
      <w:bookmarkEnd w:id="3"/>
      <w:r w:rsidRPr="000E4286">
        <w:t>Pre-requi</w:t>
      </w:r>
      <w:r w:rsidRPr="000E4286">
        <w:t>site Unit</w:t>
      </w:r>
    </w:p>
    <w:tbl>
      <w:tblPr>
        <w:tblW w:w="9497" w:type="dxa"/>
        <w:tblLayout w:type="fixed"/>
        <w:tblCellMar>
          <w:left w:w="62" w:type="dxa"/>
          <w:right w:w="62" w:type="dxa"/>
        </w:tblCellMar>
        <w:tblLook w:val="0000"/>
      </w:tblPr>
      <w:tblGrid>
        <w:gridCol w:w="9497"/>
      </w:tblGrid>
      <w:tr w:rsidTr="000E4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t>Not applicable.</w:t>
            </w:r>
          </w:p>
        </w:tc>
      </w:tr>
    </w:tbl>
    <w:p w:rsidR="00273829" w:rsidP="000E4286">
      <w:pPr>
        <w:pStyle w:val="NoPaddingFontSize1"/>
      </w:pPr>
    </w:p>
    <w:p w:rsidR="00273829" w:rsidP="000E4286">
      <w:pPr>
        <w:pStyle w:val="NoPaddingFontSize1"/>
      </w:pPr>
    </w:p>
    <w:p w:rsidR="00000000" w:rsidRPr="000E4286" w:rsidP="000E4286">
      <w:pPr>
        <w:pStyle w:val="Heading1"/>
      </w:pPr>
      <w:bookmarkStart w:id="4" w:name="O_1193263"/>
      <w:bookmarkEnd w:id="4"/>
      <w:r w:rsidRPr="000E4286">
        <w:t>Competency Field</w:t>
      </w:r>
    </w:p>
    <w:tbl>
      <w:tblPr>
        <w:tblW w:w="9497" w:type="dxa"/>
        <w:tblLayout w:type="fixed"/>
        <w:tblCellMar>
          <w:left w:w="62" w:type="dxa"/>
          <w:right w:w="62" w:type="dxa"/>
        </w:tblCellMar>
        <w:tblLook w:val="0000"/>
      </w:tblPr>
      <w:tblGrid>
        <w:gridCol w:w="9497"/>
      </w:tblGrid>
      <w:tr w:rsidTr="000E4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t>F – Safety Management.</w:t>
            </w:r>
          </w:p>
        </w:tc>
      </w:tr>
    </w:tbl>
    <w:p w:rsidR="00273829" w:rsidP="000E4286">
      <w:pPr>
        <w:pStyle w:val="NoPaddingFontSize1"/>
      </w:pPr>
    </w:p>
    <w:p w:rsidR="00273829" w:rsidP="000E4286">
      <w:pPr>
        <w:pStyle w:val="NoPaddingFontSize1"/>
      </w:pPr>
    </w:p>
    <w:p w:rsidR="00000000" w:rsidRPr="000E4286" w:rsidP="000E4286">
      <w:pPr>
        <w:pStyle w:val="Heading1"/>
      </w:pPr>
      <w:bookmarkStart w:id="5" w:name="O_1193264"/>
      <w:bookmarkEnd w:id="5"/>
      <w:r w:rsidRPr="000E4286">
        <w:t>Unit Sector</w:t>
      </w:r>
    </w:p>
    <w:tbl>
      <w:tblPr>
        <w:tblW w:w="9497" w:type="dxa"/>
        <w:tblLayout w:type="fixed"/>
        <w:tblCellMar>
          <w:left w:w="62" w:type="dxa"/>
          <w:right w:w="62" w:type="dxa"/>
        </w:tblCellMar>
        <w:tblLook w:val="0000"/>
      </w:tblPr>
      <w:tblGrid>
        <w:gridCol w:w="9497"/>
      </w:tblGrid>
      <w:tr w:rsidTr="000E4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t>Not applicable.</w:t>
            </w:r>
          </w:p>
        </w:tc>
      </w:tr>
    </w:tbl>
    <w:p w:rsidR="00273829" w:rsidP="000E4286">
      <w:pPr>
        <w:pStyle w:val="NoPaddingFontSize1"/>
      </w:pPr>
    </w:p>
    <w:p w:rsidR="00273829" w:rsidP="000E4286">
      <w:pPr>
        <w:pStyle w:val="NoPaddingFontSize1"/>
      </w:pPr>
    </w:p>
    <w:p w:rsidR="00000000" w:rsidRPr="000E4286" w:rsidP="000E4286">
      <w:pPr>
        <w:pStyle w:val="Heading1"/>
      </w:pPr>
      <w:bookmarkStart w:id="6" w:name="O_1193265"/>
      <w:bookmarkEnd w:id="6"/>
      <w:r w:rsidRPr="000E4286">
        <w:t>Elements and Performance Criteria</w:t>
      </w:r>
    </w:p>
    <w:tbl>
      <w:tblPr>
        <w:tblW w:w="9630" w:type="dxa"/>
        <w:tblLayout w:type="fixed"/>
        <w:tblCellMar>
          <w:left w:w="62" w:type="dxa"/>
          <w:right w:w="62" w:type="dxa"/>
        </w:tblCellMar>
        <w:tblLook w:val="0000"/>
      </w:tblPr>
      <w:tblGrid>
        <w:gridCol w:w="273"/>
        <w:gridCol w:w="2787"/>
        <w:gridCol w:w="493"/>
        <w:gridCol w:w="6061"/>
        <w:gridCol w:w="16"/>
      </w:tblGrid>
      <w:tr w:rsidTr="000E4286">
        <w:tblPrEx>
          <w:tblW w:w="9630"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Elements describe the essential outcomes.</w:t>
            </w:r>
          </w:p>
        </w:tc>
        <w:tc>
          <w:tcPr>
            <w:tcW w:w="6570" w:type="dxa"/>
            <w:gridSpan w:val="3"/>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Performance criteria describe the performance needed to demonstrate achievement of the element.</w:t>
            </w:r>
          </w:p>
        </w:tc>
      </w:tr>
      <w:tr w:rsidTr="000E4286">
        <w:tblPrEx>
          <w:tblW w:w="9630" w:type="dxa"/>
          <w:tblLayout w:type="fixed"/>
          <w:tblCellMar>
            <w:left w:w="62" w:type="dxa"/>
            <w:right w:w="62" w:type="dxa"/>
          </w:tblCellMar>
          <w:tblLook w:val="0000"/>
        </w:tblPrEx>
        <w:trPr>
          <w:gridAfter w:val="1"/>
          <w:wAfter w:w="16" w:type="dxa"/>
        </w:trPr>
        <w:tc>
          <w:tcPr>
            <w:tcW w:w="273" w:type="dxa"/>
            <w:vMerge w:val="restart"/>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rPr>
                <w:rStyle w:val="SpecialBold"/>
              </w:rPr>
              <w:t>1</w:t>
            </w:r>
          </w:p>
        </w:tc>
        <w:tc>
          <w:tcPr>
            <w:tcW w:w="2787" w:type="dxa"/>
            <w:vMerge w:val="restart"/>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rPr>
                <w:rStyle w:val="SpecialBold"/>
              </w:rPr>
              <w:t xml:space="preserve">Monitor the implementation of fatigue </w:t>
            </w:r>
            <w:r w:rsidRPr="000E4286">
              <w:rPr>
                <w:rStyle w:val="SpecialBold"/>
              </w:rPr>
              <w:t>management strategies</w:t>
            </w: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1.1</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Work activities of workers and suppliers in organisation’</w:t>
            </w:r>
            <w:r w:rsidRPr="000E4286">
              <w:t xml:space="preserve">s products and services supply chain are monitored in accordance with organisation’s fatigue risk management </w:t>
            </w:r>
            <w:r w:rsidRPr="000E4286">
              <w:t>implementation plan</w:t>
            </w:r>
          </w:p>
        </w:tc>
      </w:tr>
      <w:tr w:rsidTr="000E4286">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0E4286">
            <w:pPr>
              <w:pStyle w:val="BodyText"/>
              <w:keepLines w:val="0"/>
            </w:pP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1.2</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Reviews are undertaken of scheduled versus actual hours of work and, where a compliance breach is identified, corrective</w:t>
            </w:r>
            <w:r w:rsidRPr="000E4286">
              <w:t xml:space="preserve"> action is taken to analyse the reasons concerned and to rectify the situation</w:t>
            </w:r>
          </w:p>
        </w:tc>
      </w:tr>
      <w:tr w:rsidTr="000E4286">
        <w:tblPrEx>
          <w:tblW w:w="9630" w:type="dxa"/>
          <w:tblLayout w:type="fixed"/>
          <w:tblCellMar>
            <w:left w:w="62" w:type="dxa"/>
            <w:right w:w="62" w:type="dxa"/>
          </w:tblCellMar>
          <w:tblLook w:val="0000"/>
        </w:tblPrEx>
        <w:trPr>
          <w:gridAfter w:val="1"/>
          <w:wAfter w:w="16" w:type="dxa"/>
        </w:trPr>
        <w:tc>
          <w:tcPr>
            <w:tcW w:w="273" w:type="dxa"/>
            <w:vMerge w:val="restart"/>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rPr>
                <w:rStyle w:val="SpecialBold"/>
              </w:rPr>
              <w:t>2</w:t>
            </w:r>
          </w:p>
        </w:tc>
        <w:tc>
          <w:tcPr>
            <w:tcW w:w="2787" w:type="dxa"/>
            <w:vMerge w:val="restart"/>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rPr>
                <w:rStyle w:val="SpecialBold"/>
              </w:rPr>
              <w:t>Recognise breaches of fatigue management policies, procedures and regulations</w:t>
            </w: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2.1</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Signs and symptoms of fatigue in workers are identified in accordance with workplace procedures</w:t>
            </w:r>
          </w:p>
        </w:tc>
      </w:tr>
      <w:tr w:rsidTr="000E4286">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0E4286">
            <w:pPr>
              <w:pStyle w:val="BodyText"/>
              <w:keepLines w:val="0"/>
            </w:pP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2.2</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Breaches of fatigue management policies, procedures and regulations in the work activities of workers and suppliers are recognised and reported in accord</w:t>
            </w:r>
            <w:r w:rsidRPr="000E4286">
              <w:t>ance with workplace procedures</w:t>
            </w:r>
          </w:p>
        </w:tc>
      </w:tr>
      <w:tr w:rsidTr="000E4286">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0E4286">
            <w:pPr>
              <w:pStyle w:val="BodyText"/>
              <w:keepLines w:val="0"/>
            </w:pP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2.3</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Errors and incidents relating to non-compliance with fatigue management procedures and regulations are investigated and reported in accordance with workplace procedures</w:t>
            </w:r>
          </w:p>
        </w:tc>
      </w:tr>
      <w:tr w:rsidTr="000E4286">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0E4286">
            <w:pPr>
              <w:pStyle w:val="BodyText"/>
              <w:keepLines w:val="0"/>
            </w:pP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2.4</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Corrective action is taken in conjunction with workers or suppliers concerned to ensure ongoing and future compliance with fatigue management policies and procedures</w:t>
            </w:r>
          </w:p>
        </w:tc>
      </w:tr>
      <w:tr w:rsidTr="000E4286">
        <w:tblPrEx>
          <w:tblW w:w="9630" w:type="dxa"/>
          <w:tblLayout w:type="fixed"/>
          <w:tblCellMar>
            <w:left w:w="62" w:type="dxa"/>
            <w:right w:w="62" w:type="dxa"/>
          </w:tblCellMar>
          <w:tblLook w:val="0000"/>
        </w:tblPrEx>
        <w:trPr>
          <w:gridAfter w:val="1"/>
          <w:wAfter w:w="16" w:type="dxa"/>
        </w:trPr>
        <w:tc>
          <w:tcPr>
            <w:tcW w:w="273" w:type="dxa"/>
            <w:vMerge w:val="restart"/>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rPr>
                <w:rStyle w:val="SpecialBold"/>
              </w:rPr>
              <w:t>3</w:t>
            </w:r>
          </w:p>
        </w:tc>
        <w:tc>
          <w:tcPr>
            <w:tcW w:w="2787" w:type="dxa"/>
            <w:vMerge w:val="restart"/>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rPr>
                <w:rStyle w:val="SpecialBold"/>
              </w:rPr>
              <w:t>Develop and assess staff competence in fatigue management</w:t>
            </w: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3.1</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Appropriate training prog</w:t>
            </w:r>
            <w:r w:rsidRPr="000E4286">
              <w:t>rams and learning resources are developed and provided to ensure workers understand the organisation’s fatigue management policies and procedures, and the risks, causes and consequences of fatigue</w:t>
            </w:r>
          </w:p>
        </w:tc>
      </w:tr>
      <w:tr w:rsidTr="000E4286">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0E4286">
            <w:pPr>
              <w:pStyle w:val="BodyText"/>
              <w:keepLines w:val="0"/>
            </w:pP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3.2</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Workers are assessed to confirm they are competent i</w:t>
            </w:r>
            <w:r w:rsidRPr="000E4286">
              <w:t>n understanding the organisation’s fatigue management strategies and can apply them to their day-to-day work activities and responsibilities</w:t>
            </w:r>
          </w:p>
        </w:tc>
      </w:tr>
      <w:tr w:rsidTr="000E4286">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0E4286">
            <w:pPr>
              <w:pStyle w:val="BodyText"/>
              <w:keepLines w:val="0"/>
            </w:pP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3.3</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Deficiencies in worker competence to apply organisation’s fatigue management st</w:t>
            </w:r>
            <w:r w:rsidRPr="000E4286">
              <w:t>rategies to their work activities are identified and appropriate learning opportunities are provided to enable workers to achieve required competence</w:t>
            </w:r>
          </w:p>
        </w:tc>
      </w:tr>
      <w:tr w:rsidTr="000E4286">
        <w:tblPrEx>
          <w:tblW w:w="9630" w:type="dxa"/>
          <w:tblLayout w:type="fixed"/>
          <w:tblCellMar>
            <w:left w:w="62" w:type="dxa"/>
            <w:right w:w="62" w:type="dxa"/>
          </w:tblCellMar>
          <w:tblLook w:val="0000"/>
        </w:tblPrEx>
        <w:trPr>
          <w:gridAfter w:val="1"/>
          <w:wAfter w:w="16" w:type="dxa"/>
        </w:trPr>
        <w:tc>
          <w:tcPr>
            <w:tcW w:w="273" w:type="dxa"/>
            <w:vMerge w:val="restart"/>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rPr>
                <w:rStyle w:val="SpecialBold"/>
              </w:rPr>
              <w:t>4</w:t>
            </w:r>
          </w:p>
        </w:tc>
        <w:tc>
          <w:tcPr>
            <w:tcW w:w="2787" w:type="dxa"/>
            <w:vMerge w:val="restart"/>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rPr>
                <w:rStyle w:val="SpecialBold"/>
              </w:rPr>
              <w:t>Provide feedback to staff on deficiencies in fatigue management skills and knowledge</w:t>
            </w: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4.1</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Evidence of wo</w:t>
            </w:r>
            <w:r w:rsidRPr="000E4286">
              <w:t xml:space="preserve">rker deficiencies in implementing fatigue management strategies is obtained and interpreted from observation of signs and symptoms of fatigue in work activities, periodic evaluations of work performance and assessments of competence carried out as part of </w:t>
            </w:r>
            <w:r w:rsidRPr="000E4286">
              <w:t>training and learning activities</w:t>
            </w:r>
          </w:p>
        </w:tc>
      </w:tr>
      <w:tr w:rsidTr="000E4286">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0E4286">
            <w:pPr>
              <w:pStyle w:val="BodyText"/>
              <w:keepLines w:val="0"/>
            </w:pP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4.2</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Workers are provided with feedback on identified deficiencies in their implementation of fatigue management strategies and appropriate support and counselling is provided on how they might address these deficiencies</w:t>
            </w:r>
          </w:p>
        </w:tc>
      </w:tr>
      <w:tr w:rsidTr="000E4286">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0E4286">
            <w:pPr>
              <w:pStyle w:val="BodyText"/>
              <w:keepLines w:val="0"/>
            </w:pP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4.3</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Further learning opportunities and information are provided to assist workers to implement organisation’s fatigue management strategies in their area of work activity, as required</w:t>
            </w:r>
          </w:p>
        </w:tc>
      </w:tr>
      <w:tr w:rsidTr="000E4286">
        <w:tblPrEx>
          <w:tblW w:w="9630" w:type="dxa"/>
          <w:tblLayout w:type="fixed"/>
          <w:tblCellMar>
            <w:left w:w="62" w:type="dxa"/>
            <w:right w:w="62" w:type="dxa"/>
          </w:tblCellMar>
          <w:tblLook w:val="0000"/>
        </w:tblPrEx>
        <w:trPr>
          <w:gridAfter w:val="1"/>
          <w:wAfter w:w="16" w:type="dxa"/>
        </w:trPr>
        <w:tc>
          <w:tcPr>
            <w:tcW w:w="273" w:type="dxa"/>
            <w:vMerge w:val="restart"/>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rPr>
                <w:rStyle w:val="SpecialBold"/>
              </w:rPr>
              <w:t>5</w:t>
            </w:r>
          </w:p>
        </w:tc>
        <w:tc>
          <w:tcPr>
            <w:tcW w:w="2787" w:type="dxa"/>
            <w:vMerge w:val="restart"/>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rPr>
                <w:rStyle w:val="SpecialBold"/>
              </w:rPr>
              <w:t>Report on the implementation of fatigue management policy</w:t>
            </w: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5.1</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Periodic audits of the implementation of fatigue management strategies in the work area/s of responsibility are carried out in accordance with workplace procedures</w:t>
            </w:r>
          </w:p>
        </w:tc>
      </w:tr>
      <w:tr w:rsidTr="000E4286">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0E4286">
            <w:pPr>
              <w:pStyle w:val="BodyText"/>
              <w:keepLines w:val="0"/>
            </w:pP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5.2</w:t>
            </w:r>
          </w:p>
        </w:tc>
        <w:tc>
          <w:tcPr>
            <w:tcW w:w="6061"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t>Accidents, safety incidents and near misses are investigated and analysed to identify</w:t>
            </w:r>
            <w:r w:rsidRPr="000E4286">
              <w:t xml:space="preserve"> the extent to which fatigue might have been a contributing factor</w:t>
            </w:r>
          </w:p>
        </w:tc>
      </w:tr>
      <w:tr w:rsidTr="000E4286">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0E4286">
            <w:pPr>
              <w:pStyle w:val="BodyText"/>
              <w:keepLines w:val="0"/>
            </w:pPr>
          </w:p>
        </w:tc>
        <w:tc>
          <w:tcPr>
            <w:tcW w:w="493" w:type="dxa"/>
            <w:tcBorders>
              <w:top w:val="nil"/>
              <w:left w:val="nil"/>
              <w:bottom w:val="nil"/>
              <w:right w:val="nil"/>
            </w:tcBorders>
            <w:tcMar>
              <w:top w:w="0" w:type="dxa"/>
              <w:left w:w="62" w:type="dxa"/>
              <w:bottom w:w="0" w:type="dxa"/>
              <w:right w:w="62" w:type="dxa"/>
            </w:tcMar>
          </w:tcPr>
          <w:p w:rsidR="00000000" w:rsidP="000E4286">
            <w:pPr>
              <w:pStyle w:val="BodyText"/>
              <w:rPr>
                <w:lang w:val="en-NZ"/>
              </w:rPr>
            </w:pPr>
            <w:r w:rsidRPr="000E4286">
              <w:rPr>
                <w:rStyle w:val="SpecialBold"/>
              </w:rPr>
              <w:t>5.3</w:t>
            </w:r>
          </w:p>
        </w:tc>
        <w:tc>
          <w:tcPr>
            <w:tcW w:w="6061" w:type="dxa"/>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t>Reports on implementation of organisation’s fatigue risk management system are prepared and submitted to designated personnel in accordance with workplace procedures</w:t>
            </w:r>
          </w:p>
        </w:tc>
      </w:tr>
    </w:tbl>
    <w:p w:rsidR="00273829" w:rsidP="000E4286">
      <w:pPr>
        <w:pStyle w:val="NoPaddingFontSize1"/>
      </w:pPr>
    </w:p>
    <w:p w:rsidR="00273829" w:rsidP="000E4286">
      <w:pPr>
        <w:pStyle w:val="NoPaddingFontSize1"/>
      </w:pPr>
    </w:p>
    <w:p w:rsidR="00000000" w:rsidRPr="000E4286" w:rsidP="000E4286">
      <w:pPr>
        <w:pStyle w:val="Heading1"/>
      </w:pPr>
      <w:bookmarkStart w:id="7" w:name="O_1193266"/>
      <w:bookmarkEnd w:id="7"/>
      <w:r w:rsidRPr="000E4286">
        <w:t>Foundation Skills</w:t>
      </w:r>
    </w:p>
    <w:tbl>
      <w:tblPr>
        <w:tblW w:w="9497" w:type="dxa"/>
        <w:tblLayout w:type="fixed"/>
        <w:tblCellMar>
          <w:left w:w="62" w:type="dxa"/>
          <w:right w:w="62" w:type="dxa"/>
        </w:tblCellMar>
        <w:tblLook w:val="0000"/>
      </w:tblPr>
      <w:tblGrid>
        <w:gridCol w:w="9497"/>
      </w:tblGrid>
      <w:tr w:rsidTr="000E4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t>Foundation skills essential to performance are explicit in the performance criteria of this unit of competency.</w:t>
            </w:r>
          </w:p>
        </w:tc>
      </w:tr>
    </w:tbl>
    <w:p w:rsidR="00273829" w:rsidP="000E4286">
      <w:pPr>
        <w:pStyle w:val="NoPaddingFontSize1"/>
      </w:pPr>
    </w:p>
    <w:p w:rsidR="00273829" w:rsidP="000E4286">
      <w:pPr>
        <w:pStyle w:val="NoPaddingFontSize1"/>
      </w:pPr>
    </w:p>
    <w:p w:rsidR="00000000" w:rsidRPr="000E4286" w:rsidP="000E4286">
      <w:pPr>
        <w:pStyle w:val="Heading1"/>
      </w:pPr>
      <w:bookmarkStart w:id="8" w:name="O_1193267"/>
      <w:bookmarkEnd w:id="8"/>
      <w:r w:rsidRPr="000E4286">
        <w:t>Range of Conditions</w:t>
      </w:r>
    </w:p>
    <w:tbl>
      <w:tblPr>
        <w:tblW w:w="9497" w:type="dxa"/>
        <w:tblLayout w:type="fixed"/>
        <w:tblCellMar>
          <w:left w:w="62" w:type="dxa"/>
          <w:right w:w="62" w:type="dxa"/>
        </w:tblCellMar>
        <w:tblLook w:val="0000"/>
      </w:tblPr>
      <w:tblGrid>
        <w:gridCol w:w="9497"/>
      </w:tblGrid>
      <w:tr w:rsidTr="000E4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t>Range is restricted to essential operating conditions and any other variabl</w:t>
            </w:r>
            <w:r w:rsidRPr="000E4286">
              <w:t>es essential to the work environment.</w:t>
            </w:r>
          </w:p>
          <w:p w:rsidR="00000000" w:rsidRPr="000E4286" w:rsidP="000E4286">
            <w:pPr>
              <w:pStyle w:val="BodyText"/>
            </w:pPr>
            <w:r w:rsidRPr="000E4286">
              <w:t>Non-essential conditions can be found in the TLI Transport and Logistics Training Package Companion Volume Implementation Guide.</w:t>
            </w:r>
          </w:p>
        </w:tc>
      </w:tr>
    </w:tbl>
    <w:p w:rsidR="00273829" w:rsidP="000E4286">
      <w:pPr>
        <w:pStyle w:val="NoPaddingFontSize1"/>
      </w:pPr>
    </w:p>
    <w:p w:rsidR="00273829" w:rsidP="000E4286">
      <w:pPr>
        <w:pStyle w:val="NoPaddingFontSize1"/>
      </w:pPr>
    </w:p>
    <w:p w:rsidR="00000000" w:rsidRPr="000E4286" w:rsidP="000E4286">
      <w:pPr>
        <w:pStyle w:val="Heading1"/>
      </w:pPr>
      <w:bookmarkStart w:id="9" w:name="O_1193268"/>
      <w:bookmarkEnd w:id="9"/>
      <w:r w:rsidRPr="000E4286">
        <w:t>Unit Mapping Information</w:t>
      </w:r>
    </w:p>
    <w:tbl>
      <w:tblPr>
        <w:tblW w:w="9497" w:type="dxa"/>
        <w:tblLayout w:type="fixed"/>
        <w:tblCellMar>
          <w:left w:w="62" w:type="dxa"/>
          <w:right w:w="62" w:type="dxa"/>
        </w:tblCellMar>
        <w:tblLook w:val="0000"/>
      </w:tblPr>
      <w:tblGrid>
        <w:gridCol w:w="9497"/>
      </w:tblGrid>
      <w:tr w:rsidTr="000E42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286" w:rsidP="000E4286">
            <w:pPr>
              <w:pStyle w:val="BodyText"/>
            </w:pPr>
            <w:r w:rsidRPr="000E4286">
              <w:t>This unit replaces and is equivalent to TLIF3063 Administer the implementation of fatigue management strategies.</w:t>
            </w:r>
          </w:p>
        </w:tc>
      </w:tr>
    </w:tbl>
    <w:p w:rsidR="00273829" w:rsidP="000E4286">
      <w:pPr>
        <w:pStyle w:val="NoPaddingFontSize1"/>
      </w:pPr>
    </w:p>
    <w:p w:rsidR="00273829" w:rsidP="000E4286">
      <w:pPr>
        <w:pStyle w:val="NoPaddingFontSize1"/>
      </w:pPr>
    </w:p>
    <w:p w:rsidR="00000000" w:rsidRPr="000E4286" w:rsidP="000E4286">
      <w:pPr>
        <w:pStyle w:val="Heading1"/>
      </w:pPr>
      <w:bookmarkStart w:id="10" w:name="O_1193275"/>
      <w:bookmarkEnd w:id="10"/>
      <w:r w:rsidRPr="000E4286">
        <w:t>Links</w:t>
      </w:r>
    </w:p>
    <w:p w:rsidR="00000000" w:rsidRPr="000E4286" w:rsidP="00273829">
      <w:pPr>
        <w:pStyle w:val="BodyText"/>
      </w:pPr>
      <w:r w:rsidRPr="000E428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90614">
        <w:rPr>
          <w:rStyle w:val="Hyperlink"/>
        </w:rPr>
        <w:t>https://vetnet.gov.au/Pages/TrainingDocs.aspx?q=df441c6e-213d-43e3-874c-0b3f7036d851</w:t>
      </w:r>
      <w:r>
        <w:fldChar w:fldCharType="end"/>
      </w:r>
    </w:p>
    <w:p w:rsidR="00000000" w:rsidRPr="000E4286" w:rsidP="000E4286"/>
    <w:sectPr w:rsidSect="000E42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86" w:rsidRPr="00273829" w:rsidP="00273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29" w:rsidP="000E4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3829" w:rsidP="000E428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73829" w:rsidP="000E4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286" w:rsidRPr="00273829" w:rsidP="002738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29" w:rsidRPr="002D2AF8" w:rsidP="000E4286">
    <w:pPr>
      <w:pStyle w:val="Header"/>
      <w:framePr w:wrap="around"/>
    </w:pPr>
    <w:r>
      <w:fldChar w:fldCharType="begin"/>
    </w:r>
    <w:r>
      <w:instrText xml:space="preserve"> TITLE   \* MERGEFORMAT </w:instrText>
    </w:r>
    <w:r>
      <w:fldChar w:fldCharType="separate"/>
    </w:r>
    <w:r>
      <w:t>TLIF0021 Administer the implementation of fatigue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73829" w:rsidP="000E4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286"/>
    <w:pPr>
      <w:spacing w:before="360" w:after="60"/>
      <w:outlineLvl w:val="0"/>
    </w:pPr>
    <w:rPr>
      <w:sz w:val="32"/>
    </w:rPr>
  </w:style>
  <w:style w:type="paragraph" w:styleId="Heading2">
    <w:name w:val="heading 2"/>
    <w:basedOn w:val="HeadingBase"/>
    <w:next w:val="BodyText"/>
    <w:link w:val="Heading2Char"/>
    <w:qFormat/>
    <w:rsid w:val="000E4286"/>
    <w:pPr>
      <w:keepLines/>
      <w:spacing w:before="240" w:after="120"/>
      <w:outlineLvl w:val="1"/>
    </w:pPr>
    <w:rPr>
      <w:sz w:val="28"/>
      <w:szCs w:val="40"/>
    </w:rPr>
  </w:style>
  <w:style w:type="paragraph" w:styleId="Heading3">
    <w:name w:val="heading 3"/>
    <w:basedOn w:val="HeadingBase"/>
    <w:next w:val="BodyText"/>
    <w:link w:val="Heading3Char"/>
    <w:qFormat/>
    <w:rsid w:val="000E4286"/>
    <w:pPr>
      <w:spacing w:before="180" w:after="120"/>
      <w:outlineLvl w:val="2"/>
    </w:pPr>
    <w:rPr>
      <w:spacing w:val="-10"/>
      <w:kern w:val="32"/>
    </w:rPr>
  </w:style>
  <w:style w:type="paragraph" w:styleId="Heading4">
    <w:name w:val="heading 4"/>
    <w:basedOn w:val="HeadingBase"/>
    <w:next w:val="BodyText"/>
    <w:link w:val="Heading4Char"/>
    <w:qFormat/>
    <w:rsid w:val="000E4286"/>
    <w:pPr>
      <w:spacing w:before="160" w:after="120"/>
      <w:outlineLvl w:val="3"/>
    </w:pPr>
    <w:rPr>
      <w:sz w:val="22"/>
    </w:rPr>
  </w:style>
  <w:style w:type="paragraph" w:styleId="Heading5">
    <w:name w:val="heading 5"/>
    <w:basedOn w:val="HeadingBase"/>
    <w:next w:val="Normal"/>
    <w:link w:val="Heading5Char"/>
    <w:qFormat/>
    <w:rsid w:val="000E4286"/>
    <w:pPr>
      <w:spacing w:before="80"/>
      <w:outlineLvl w:val="4"/>
    </w:pPr>
    <w:rPr>
      <w:color w:val="918585"/>
      <w:sz w:val="20"/>
    </w:rPr>
  </w:style>
  <w:style w:type="paragraph" w:styleId="Heading6">
    <w:name w:val="heading 6"/>
    <w:basedOn w:val="HeadingBase"/>
    <w:next w:val="Normal"/>
    <w:link w:val="Heading6Char"/>
    <w:qFormat/>
    <w:rsid w:val="000E4286"/>
    <w:pPr>
      <w:spacing w:before="60"/>
      <w:outlineLvl w:val="5"/>
    </w:pPr>
    <w:rPr>
      <w:color w:val="918585"/>
      <w:sz w:val="20"/>
    </w:rPr>
  </w:style>
  <w:style w:type="paragraph" w:styleId="Heading7">
    <w:name w:val="heading 7"/>
    <w:basedOn w:val="Normal"/>
    <w:next w:val="Normal"/>
    <w:link w:val="Heading7Char"/>
    <w:qFormat/>
    <w:rsid w:val="000E4286"/>
    <w:pPr>
      <w:ind w:left="720"/>
      <w:outlineLvl w:val="6"/>
    </w:pPr>
    <w:rPr>
      <w:i/>
    </w:rPr>
  </w:style>
  <w:style w:type="paragraph" w:styleId="Heading8">
    <w:name w:val="heading 8"/>
    <w:basedOn w:val="Normal"/>
    <w:next w:val="Normal"/>
    <w:link w:val="Heading8Char"/>
    <w:qFormat/>
    <w:rsid w:val="000E4286"/>
    <w:pPr>
      <w:ind w:left="720"/>
      <w:outlineLvl w:val="7"/>
    </w:pPr>
    <w:rPr>
      <w:i/>
    </w:rPr>
  </w:style>
  <w:style w:type="paragraph" w:styleId="Heading9">
    <w:name w:val="heading 9"/>
    <w:basedOn w:val="Normal"/>
    <w:next w:val="Normal"/>
    <w:link w:val="Heading9Char"/>
    <w:qFormat/>
    <w:rsid w:val="000E4286"/>
    <w:pPr>
      <w:ind w:left="720"/>
      <w:outlineLvl w:val="8"/>
    </w:pPr>
    <w:rPr>
      <w:i/>
    </w:rPr>
  </w:style>
  <w:style w:type="character" w:default="1" w:styleId="DefaultParagraphFont">
    <w:name w:val="Default Paragraph Font"/>
    <w:uiPriority w:val="1"/>
    <w:unhideWhenUsed/>
    <w:rsid w:val="000E4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286"/>
  </w:style>
  <w:style w:type="character" w:customStyle="1" w:styleId="Heading1Char">
    <w:name w:val="Heading 1 Char"/>
    <w:basedOn w:val="DefaultParagraphFont"/>
    <w:link w:val="Heading1"/>
    <w:rsid w:val="000E4286"/>
    <w:rPr>
      <w:rFonts w:ascii="Times New Roman" w:eastAsia="Times New Roman" w:hAnsi="Times New Roman" w:cs="Times New Roman"/>
      <w:b/>
      <w:sz w:val="32"/>
      <w:szCs w:val="20"/>
      <w:lang w:eastAsia="en-US"/>
    </w:rPr>
  </w:style>
  <w:style w:type="paragraph" w:styleId="BodyText">
    <w:name w:val="Body Text"/>
    <w:basedOn w:val="Normal"/>
    <w:link w:val="BodyTextChar"/>
    <w:rsid w:val="000E4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286"/>
    <w:rPr>
      <w:rFonts w:ascii="Times New Roman" w:eastAsia="Times New Roman" w:hAnsi="Times New Roman" w:cs="Times New Roman"/>
      <w:sz w:val="24"/>
      <w:lang w:eastAsia="en-US"/>
    </w:rPr>
  </w:style>
  <w:style w:type="character" w:customStyle="1" w:styleId="SpecialBold">
    <w:name w:val="Special Bold"/>
    <w:basedOn w:val="DefaultParagraphFont"/>
    <w:rsid w:val="000E4286"/>
    <w:rPr>
      <w:b/>
      <w:spacing w:val="0"/>
    </w:rPr>
  </w:style>
  <w:style w:type="paragraph" w:customStyle="1" w:styleId="SuperHeading">
    <w:name w:val="SuperHeading"/>
    <w:basedOn w:val="Normal"/>
    <w:rsid w:val="000E4286"/>
    <w:pPr>
      <w:spacing w:before="240" w:after="120"/>
      <w:outlineLvl w:val="0"/>
    </w:pPr>
    <w:rPr>
      <w:rFonts w:ascii="Times New Roman" w:hAnsi="Times New Roman"/>
      <w:b/>
      <w:sz w:val="32"/>
    </w:rPr>
  </w:style>
  <w:style w:type="paragraph" w:customStyle="1" w:styleId="AllowPageBreak">
    <w:name w:val="AllowPageBreak"/>
    <w:rsid w:val="000E42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4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286"/>
    <w:rPr>
      <w:rFonts w:ascii="Courier New" w:eastAsia="Times New Roman" w:hAnsi="Courier New" w:cs="Times New Roman"/>
      <w:i/>
      <w:szCs w:val="20"/>
      <w:lang w:eastAsia="en-US"/>
    </w:rPr>
  </w:style>
  <w:style w:type="paragraph" w:customStyle="1" w:styleId="HeadingBase">
    <w:name w:val="Heading Base"/>
    <w:rsid w:val="000E4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286"/>
    <w:pPr>
      <w:tabs>
        <w:tab w:val="right" w:leader="dot" w:pos="9072"/>
      </w:tabs>
      <w:ind w:left="567"/>
    </w:pPr>
    <w:rPr>
      <w:szCs w:val="22"/>
    </w:rPr>
  </w:style>
  <w:style w:type="paragraph" w:customStyle="1" w:styleId="TOCBase">
    <w:name w:val="TOC Base"/>
    <w:rsid w:val="000E4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286"/>
    <w:pPr>
      <w:tabs>
        <w:tab w:val="right" w:leader="dot" w:pos="9072"/>
      </w:tabs>
      <w:spacing w:before="40" w:after="40"/>
      <w:ind w:left="284"/>
    </w:pPr>
    <w:rPr>
      <w:rFonts w:ascii="Times New Roman" w:hAnsi="Times New Roman"/>
    </w:rPr>
  </w:style>
  <w:style w:type="paragraph" w:styleId="TOC1">
    <w:name w:val="toc 1"/>
    <w:basedOn w:val="TOCBase"/>
    <w:next w:val="Normal"/>
    <w:rsid w:val="000E4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286"/>
    <w:rPr>
      <w:rFonts w:ascii="Times New Roman" w:eastAsia="Times New Roman" w:hAnsi="Times New Roman" w:cs="Times New Roman"/>
      <w:sz w:val="16"/>
      <w:lang w:eastAsia="en-US"/>
    </w:rPr>
  </w:style>
  <w:style w:type="paragraph" w:styleId="Title">
    <w:name w:val="Title"/>
    <w:basedOn w:val="HeadingBase"/>
    <w:link w:val="TitleChar"/>
    <w:qFormat/>
    <w:rsid w:val="000E4286"/>
    <w:pPr>
      <w:spacing w:before="5040"/>
      <w:jc w:val="center"/>
    </w:pPr>
    <w:rPr>
      <w:sz w:val="48"/>
      <w:szCs w:val="72"/>
      <w:lang w:val="en-US"/>
    </w:rPr>
  </w:style>
  <w:style w:type="character" w:customStyle="1" w:styleId="TitleChar">
    <w:name w:val="Title Char"/>
    <w:basedOn w:val="DefaultParagraphFont"/>
    <w:link w:val="Title"/>
    <w:rsid w:val="000E4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286"/>
    <w:pPr>
      <w:tabs>
        <w:tab w:val="left" w:pos="3600"/>
        <w:tab w:val="left" w:pos="3958"/>
      </w:tabs>
    </w:pPr>
  </w:style>
  <w:style w:type="paragraph" w:styleId="List">
    <w:name w:val="List"/>
    <w:basedOn w:val="BodyText"/>
    <w:next w:val="BodyText"/>
    <w:rsid w:val="000E4286"/>
    <w:pPr>
      <w:tabs>
        <w:tab w:val="left" w:pos="340"/>
      </w:tabs>
      <w:spacing w:before="60" w:after="60"/>
      <w:ind w:left="340" w:hanging="340"/>
    </w:pPr>
  </w:style>
  <w:style w:type="paragraph" w:styleId="ListBullet">
    <w:name w:val="List Bullet"/>
    <w:basedOn w:val="List"/>
    <w:rsid w:val="000E4286"/>
    <w:pPr>
      <w:numPr>
        <w:numId w:val="10"/>
      </w:numPr>
      <w:tabs>
        <w:tab w:val="clear" w:pos="340"/>
      </w:tabs>
      <w:spacing w:before="40" w:after="40"/>
    </w:pPr>
  </w:style>
  <w:style w:type="paragraph" w:customStyle="1" w:styleId="Note">
    <w:name w:val="Note"/>
    <w:basedOn w:val="BodyText"/>
    <w:rsid w:val="000E4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286"/>
    <w:pPr>
      <w:framePr w:wrap="auto" w:hAnchor="text" w:y="6049"/>
    </w:pPr>
    <w:rPr>
      <w:color w:val="000000"/>
      <w:sz w:val="40"/>
    </w:rPr>
  </w:style>
  <w:style w:type="paragraph" w:customStyle="1" w:styleId="TOCTitle">
    <w:name w:val="TOCTitle"/>
    <w:basedOn w:val="Heading1"/>
    <w:rsid w:val="000E4286"/>
    <w:pPr>
      <w:spacing w:after="240"/>
      <w:jc w:val="center"/>
      <w:outlineLvl w:val="9"/>
    </w:pPr>
    <w:rPr>
      <w:caps/>
    </w:rPr>
  </w:style>
  <w:style w:type="paragraph" w:customStyle="1" w:styleId="Version">
    <w:name w:val="Version"/>
    <w:rsid w:val="000E42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4286"/>
    <w:pPr>
      <w:numPr>
        <w:numId w:val="11"/>
      </w:numPr>
      <w:tabs>
        <w:tab w:val="clear" w:pos="680"/>
      </w:tabs>
    </w:pPr>
  </w:style>
  <w:style w:type="paragraph" w:styleId="Index1">
    <w:name w:val="index 1"/>
    <w:basedOn w:val="Normal"/>
    <w:next w:val="Normal"/>
    <w:semiHidden/>
    <w:rsid w:val="000E4286"/>
    <w:pPr>
      <w:keepNext w:val="0"/>
      <w:tabs>
        <w:tab w:val="right" w:pos="4176"/>
      </w:tabs>
      <w:ind w:left="198" w:hanging="198"/>
    </w:pPr>
    <w:rPr>
      <w:rFonts w:ascii="Garamond" w:hAnsi="Garamond"/>
    </w:rPr>
  </w:style>
  <w:style w:type="paragraph" w:styleId="IndexHeading">
    <w:name w:val="index heading"/>
    <w:basedOn w:val="Normal"/>
    <w:next w:val="Index1"/>
    <w:semiHidden/>
    <w:rsid w:val="000E4286"/>
    <w:pPr>
      <w:spacing w:before="120" w:after="120"/>
    </w:pPr>
    <w:rPr>
      <w:rFonts w:ascii="Arial" w:hAnsi="Arial"/>
      <w:b/>
      <w:color w:val="918585"/>
      <w:sz w:val="24"/>
    </w:rPr>
  </w:style>
  <w:style w:type="paragraph" w:styleId="Header">
    <w:name w:val="header"/>
    <w:basedOn w:val="Normal"/>
    <w:link w:val="HeaderChar"/>
    <w:rsid w:val="000E4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286"/>
    <w:rPr>
      <w:rFonts w:ascii="Times New Roman" w:eastAsia="Times New Roman" w:hAnsi="Times New Roman" w:cs="Times New Roman"/>
      <w:sz w:val="16"/>
      <w:szCs w:val="20"/>
      <w:lang w:val="en-GB" w:eastAsia="en-US"/>
    </w:rPr>
  </w:style>
  <w:style w:type="paragraph" w:customStyle="1" w:styleId="Chapter">
    <w:name w:val="Chapter"/>
    <w:basedOn w:val="Normal"/>
    <w:rsid w:val="000E4286"/>
    <w:pPr>
      <w:spacing w:before="240"/>
    </w:pPr>
    <w:rPr>
      <w:rFonts w:ascii="Times New Roman" w:hAnsi="Times New Roman"/>
      <w:smallCaps/>
      <w:spacing w:val="80"/>
      <w:sz w:val="28"/>
    </w:rPr>
  </w:style>
  <w:style w:type="paragraph" w:customStyle="1" w:styleId="InChapter">
    <w:name w:val="InChapter"/>
    <w:basedOn w:val="Heading3"/>
    <w:rsid w:val="000E4286"/>
    <w:pPr>
      <w:spacing w:after="240"/>
      <w:outlineLvl w:val="9"/>
    </w:pPr>
    <w:rPr>
      <w:noProof/>
    </w:rPr>
  </w:style>
  <w:style w:type="paragraph" w:styleId="Index2">
    <w:name w:val="index 2"/>
    <w:basedOn w:val="Normal"/>
    <w:next w:val="Normal"/>
    <w:semiHidden/>
    <w:rsid w:val="000E4286"/>
    <w:pPr>
      <w:tabs>
        <w:tab w:val="right" w:pos="4176"/>
      </w:tabs>
      <w:ind w:left="568" w:hanging="284"/>
    </w:pPr>
    <w:rPr>
      <w:rFonts w:ascii="Garamond" w:hAnsi="Garamond"/>
    </w:rPr>
  </w:style>
  <w:style w:type="paragraph" w:customStyle="1" w:styleId="Byline">
    <w:name w:val="Byline"/>
    <w:rsid w:val="000E4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286"/>
    <w:pPr>
      <w:tabs>
        <w:tab w:val="clear" w:pos="3600"/>
        <w:tab w:val="clear" w:pos="3958"/>
      </w:tabs>
      <w:jc w:val="right"/>
    </w:pPr>
  </w:style>
  <w:style w:type="character" w:styleId="Emphasis">
    <w:name w:val="Emphasis"/>
    <w:basedOn w:val="DefaultParagraphFont"/>
    <w:qFormat/>
    <w:rsid w:val="000E4286"/>
    <w:rPr>
      <w:i/>
    </w:rPr>
  </w:style>
  <w:style w:type="paragraph" w:styleId="Caption">
    <w:name w:val="caption"/>
    <w:basedOn w:val="BodyText"/>
    <w:next w:val="Normal"/>
    <w:qFormat/>
    <w:rsid w:val="000E4286"/>
    <w:pPr>
      <w:framePr w:w="2268" w:hSpace="181" w:vSpace="181" w:wrap="around" w:vAnchor="text" w:hAnchor="page" w:x="1135" w:y="285" w:anchorLock="1"/>
    </w:pPr>
    <w:rPr>
      <w:i/>
    </w:rPr>
  </w:style>
  <w:style w:type="paragraph" w:customStyle="1" w:styleId="MiniTOCTitle">
    <w:name w:val="MiniTOCTitle"/>
    <w:basedOn w:val="Heading4"/>
    <w:rsid w:val="000E4286"/>
    <w:pPr>
      <w:spacing w:before="240"/>
      <w:outlineLvl w:val="9"/>
    </w:pPr>
    <w:rPr>
      <w:noProof/>
      <w:sz w:val="24"/>
    </w:rPr>
  </w:style>
  <w:style w:type="paragraph" w:customStyle="1" w:styleId="MiniTOCItem">
    <w:name w:val="MiniTOCItem"/>
    <w:basedOn w:val="ListBullet"/>
    <w:rsid w:val="000E4286"/>
    <w:pPr>
      <w:numPr>
        <w:numId w:val="0"/>
      </w:numPr>
      <w:tabs>
        <w:tab w:val="right" w:leader="dot" w:pos="6521"/>
      </w:tabs>
      <w:spacing w:before="0" w:after="0"/>
    </w:pPr>
  </w:style>
  <w:style w:type="paragraph" w:customStyle="1" w:styleId="TOFTitle">
    <w:name w:val="TOFTitle"/>
    <w:basedOn w:val="TOCTitle"/>
    <w:rsid w:val="000E4286"/>
  </w:style>
  <w:style w:type="paragraph" w:styleId="TableofFigures">
    <w:name w:val="table of figures"/>
    <w:basedOn w:val="Normal"/>
    <w:next w:val="Normal"/>
    <w:semiHidden/>
    <w:rsid w:val="000E4286"/>
    <w:pPr>
      <w:tabs>
        <w:tab w:val="right" w:leader="dot" w:pos="9072"/>
      </w:tabs>
      <w:ind w:left="970" w:hanging="403"/>
    </w:pPr>
    <w:rPr>
      <w:rFonts w:ascii="Times New Roman" w:hAnsi="Times New Roman"/>
      <w:b/>
    </w:rPr>
  </w:style>
  <w:style w:type="paragraph" w:styleId="ListNumber">
    <w:name w:val="List Number"/>
    <w:basedOn w:val="List"/>
    <w:rsid w:val="000E4286"/>
    <w:pPr>
      <w:numPr>
        <w:numId w:val="13"/>
      </w:numPr>
      <w:tabs>
        <w:tab w:val="clear" w:pos="340"/>
      </w:tabs>
    </w:pPr>
  </w:style>
  <w:style w:type="character" w:customStyle="1" w:styleId="WingdingSymbols">
    <w:name w:val="Wingding Symbols"/>
    <w:rsid w:val="000E4286"/>
    <w:rPr>
      <w:rFonts w:ascii="Wingdings" w:hAnsi="Wingdings"/>
    </w:rPr>
  </w:style>
  <w:style w:type="paragraph" w:customStyle="1" w:styleId="TableHeading">
    <w:name w:val="Table Heading"/>
    <w:basedOn w:val="HeadingBase"/>
    <w:rsid w:val="000E4286"/>
    <w:pPr>
      <w:keepLines/>
      <w:pBdr>
        <w:bottom w:val="single" w:sz="6" w:space="1" w:color="918585"/>
      </w:pBdr>
      <w:spacing w:before="240"/>
    </w:pPr>
  </w:style>
  <w:style w:type="character" w:customStyle="1" w:styleId="HotSpot">
    <w:name w:val="HotSpot"/>
    <w:rsid w:val="000E4286"/>
    <w:rPr>
      <w:color w:val="0033CC"/>
      <w:u w:val="none"/>
    </w:rPr>
  </w:style>
  <w:style w:type="paragraph" w:customStyle="1" w:styleId="BodyTextRight">
    <w:name w:val="Body Text Right"/>
    <w:basedOn w:val="BodyText"/>
    <w:rsid w:val="000E4286"/>
    <w:pPr>
      <w:spacing w:before="0" w:after="0"/>
      <w:jc w:val="right"/>
    </w:pPr>
  </w:style>
  <w:style w:type="paragraph" w:styleId="Index3">
    <w:name w:val="index 3"/>
    <w:basedOn w:val="ListNumber2"/>
    <w:next w:val="Normal"/>
    <w:semiHidden/>
    <w:rsid w:val="000E4286"/>
    <w:pPr>
      <w:numPr>
        <w:numId w:val="0"/>
      </w:numPr>
      <w:tabs>
        <w:tab w:val="right" w:leader="dot" w:pos="4176"/>
      </w:tabs>
    </w:pPr>
  </w:style>
  <w:style w:type="paragraph" w:styleId="ListNumber2">
    <w:name w:val="List Number 2"/>
    <w:basedOn w:val="List2"/>
    <w:rsid w:val="000E4286"/>
    <w:pPr>
      <w:numPr>
        <w:numId w:val="8"/>
      </w:numPr>
      <w:tabs>
        <w:tab w:val="clear" w:pos="1060"/>
      </w:tabs>
    </w:pPr>
  </w:style>
  <w:style w:type="paragraph" w:customStyle="1" w:styleId="MarginNote">
    <w:name w:val="Margin Note"/>
    <w:basedOn w:val="BodyText"/>
    <w:rsid w:val="000E4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286"/>
    <w:rPr>
      <w:sz w:val="32"/>
    </w:rPr>
  </w:style>
  <w:style w:type="paragraph" w:customStyle="1" w:styleId="HeadingProcedure">
    <w:name w:val="Heading Procedure"/>
    <w:basedOn w:val="HeadingBase"/>
    <w:next w:val="Normal"/>
    <w:rsid w:val="000E4286"/>
    <w:pPr>
      <w:tabs>
        <w:tab w:val="left" w:pos="0"/>
      </w:tabs>
      <w:spacing w:before="120" w:after="60"/>
    </w:pPr>
    <w:rPr>
      <w:i/>
      <w:color w:val="918585"/>
      <w:sz w:val="22"/>
    </w:rPr>
  </w:style>
  <w:style w:type="paragraph" w:customStyle="1" w:styleId="TableBodyText">
    <w:name w:val="Table Body Text"/>
    <w:basedOn w:val="BodyText"/>
    <w:rsid w:val="000E4286"/>
    <w:pPr>
      <w:spacing w:before="60" w:after="60"/>
    </w:pPr>
  </w:style>
  <w:style w:type="paragraph" w:styleId="ListContinue">
    <w:name w:val="List Continue"/>
    <w:basedOn w:val="List"/>
    <w:rsid w:val="000E4286"/>
    <w:pPr>
      <w:ind w:firstLine="0"/>
    </w:pPr>
  </w:style>
  <w:style w:type="paragraph" w:customStyle="1" w:styleId="ListNote">
    <w:name w:val="List Note"/>
    <w:basedOn w:val="List"/>
    <w:rsid w:val="000E4286"/>
    <w:pPr>
      <w:pBdr>
        <w:top w:val="single" w:sz="6" w:space="2" w:color="918585"/>
        <w:bottom w:val="single" w:sz="6" w:space="2" w:color="918585"/>
      </w:pBdr>
      <w:tabs>
        <w:tab w:val="left" w:pos="1021"/>
      </w:tabs>
      <w:ind w:firstLine="0"/>
    </w:pPr>
  </w:style>
  <w:style w:type="paragraph" w:customStyle="1" w:styleId="Warning">
    <w:name w:val="Warning"/>
    <w:basedOn w:val="BodyText"/>
    <w:rsid w:val="000E4286"/>
    <w:pPr>
      <w:shd w:val="clear" w:color="auto" w:fill="D9D9D9"/>
      <w:tabs>
        <w:tab w:val="left" w:pos="992"/>
      </w:tabs>
      <w:ind w:left="119" w:right="119"/>
    </w:pPr>
    <w:rPr>
      <w:sz w:val="20"/>
    </w:rPr>
  </w:style>
  <w:style w:type="paragraph" w:customStyle="1" w:styleId="MarginIcons">
    <w:name w:val="Margin Icons"/>
    <w:basedOn w:val="BodyText"/>
    <w:rsid w:val="000E4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286"/>
    <w:rPr>
      <w:rFonts w:ascii="Courier New" w:hAnsi="Courier New"/>
    </w:rPr>
  </w:style>
  <w:style w:type="paragraph" w:customStyle="1" w:styleId="NoteBullet">
    <w:name w:val="Note Bullet"/>
    <w:basedOn w:val="Note"/>
    <w:rsid w:val="000E4286"/>
    <w:pPr>
      <w:tabs>
        <w:tab w:val="clear" w:pos="680"/>
      </w:tabs>
      <w:spacing w:before="60" w:after="60"/>
    </w:pPr>
  </w:style>
  <w:style w:type="paragraph" w:customStyle="1" w:styleId="SubHeading2">
    <w:name w:val="SubHeading2"/>
    <w:basedOn w:val="HeadingBase"/>
    <w:rsid w:val="000E4286"/>
    <w:pPr>
      <w:spacing w:before="240" w:after="60"/>
    </w:pPr>
    <w:rPr>
      <w:sz w:val="20"/>
    </w:rPr>
  </w:style>
  <w:style w:type="paragraph" w:customStyle="1" w:styleId="SubHeading1">
    <w:name w:val="SubHeading1"/>
    <w:basedOn w:val="HeadingBase"/>
    <w:rsid w:val="000E4286"/>
    <w:pPr>
      <w:spacing w:before="240" w:after="60"/>
    </w:pPr>
    <w:rPr>
      <w:color w:val="918585"/>
      <w:sz w:val="22"/>
    </w:rPr>
  </w:style>
  <w:style w:type="paragraph" w:customStyle="1" w:styleId="SideHeading">
    <w:name w:val="Side Heading"/>
    <w:basedOn w:val="HeadingBase"/>
    <w:rsid w:val="000E4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286"/>
    <w:pPr>
      <w:numPr>
        <w:numId w:val="9"/>
      </w:numPr>
    </w:pPr>
  </w:style>
  <w:style w:type="paragraph" w:styleId="PlainText">
    <w:name w:val="Plain Text"/>
    <w:basedOn w:val="Normal"/>
    <w:link w:val="PlainTextChar"/>
    <w:rsid w:val="000E4286"/>
    <w:rPr>
      <w:sz w:val="20"/>
    </w:rPr>
  </w:style>
  <w:style w:type="character" w:customStyle="1" w:styleId="PlainTextChar">
    <w:name w:val="Plain Text Char"/>
    <w:basedOn w:val="DefaultParagraphFont"/>
    <w:link w:val="PlainText"/>
    <w:rsid w:val="000E4286"/>
    <w:rPr>
      <w:rFonts w:ascii="Courier New" w:eastAsia="Times New Roman" w:hAnsi="Courier New" w:cs="Times New Roman"/>
      <w:sz w:val="20"/>
      <w:szCs w:val="20"/>
      <w:lang w:eastAsia="en-US"/>
    </w:rPr>
  </w:style>
  <w:style w:type="character" w:customStyle="1" w:styleId="MenuOption">
    <w:name w:val="Menu Option"/>
    <w:basedOn w:val="DefaultParagraphFont"/>
    <w:rsid w:val="000E4286"/>
    <w:rPr>
      <w:b/>
      <w:smallCaps/>
    </w:rPr>
  </w:style>
  <w:style w:type="paragraph" w:customStyle="1" w:styleId="TableListNumber">
    <w:name w:val="Table List Number"/>
    <w:basedOn w:val="ListNumber"/>
    <w:rsid w:val="000E4286"/>
    <w:pPr>
      <w:numPr>
        <w:numId w:val="0"/>
      </w:numPr>
    </w:pPr>
  </w:style>
  <w:style w:type="paragraph" w:styleId="TOC4">
    <w:name w:val="toc 4"/>
    <w:basedOn w:val="TOCBase"/>
    <w:next w:val="Normal"/>
    <w:semiHidden/>
    <w:rsid w:val="000E4286"/>
    <w:pPr>
      <w:tabs>
        <w:tab w:val="right" w:leader="dot" w:pos="9071"/>
      </w:tabs>
      <w:ind w:left="1701"/>
    </w:pPr>
  </w:style>
  <w:style w:type="paragraph" w:customStyle="1" w:styleId="ListAlpha">
    <w:name w:val="List Alpha"/>
    <w:basedOn w:val="List"/>
    <w:rsid w:val="000E4286"/>
    <w:pPr>
      <w:numPr>
        <w:numId w:val="7"/>
      </w:numPr>
    </w:pPr>
  </w:style>
  <w:style w:type="paragraph" w:customStyle="1" w:styleId="ListAlpha2">
    <w:name w:val="List Alpha 2"/>
    <w:basedOn w:val="List2"/>
    <w:rsid w:val="000E4286"/>
    <w:pPr>
      <w:numPr>
        <w:numId w:val="6"/>
      </w:numPr>
    </w:pPr>
  </w:style>
  <w:style w:type="paragraph" w:styleId="List2">
    <w:name w:val="List 2"/>
    <w:basedOn w:val="BodyText"/>
    <w:rsid w:val="000E4286"/>
    <w:pPr>
      <w:tabs>
        <w:tab w:val="left" w:pos="680"/>
      </w:tabs>
      <w:spacing w:before="60" w:after="60"/>
      <w:ind w:left="680" w:hanging="340"/>
    </w:pPr>
  </w:style>
  <w:style w:type="paragraph" w:styleId="List3">
    <w:name w:val="List 3"/>
    <w:basedOn w:val="BodyText"/>
    <w:rsid w:val="000E4286"/>
    <w:pPr>
      <w:tabs>
        <w:tab w:val="left" w:pos="1021"/>
      </w:tabs>
      <w:spacing w:before="60" w:after="60"/>
      <w:ind w:left="1020" w:hanging="340"/>
    </w:pPr>
  </w:style>
  <w:style w:type="paragraph" w:styleId="List4">
    <w:name w:val="List 4"/>
    <w:basedOn w:val="BodyText"/>
    <w:rsid w:val="000E4286"/>
    <w:pPr>
      <w:tabs>
        <w:tab w:val="left" w:pos="1361"/>
      </w:tabs>
      <w:spacing w:before="60" w:after="60"/>
      <w:ind w:left="1361" w:hanging="340"/>
    </w:pPr>
  </w:style>
  <w:style w:type="paragraph" w:styleId="List5">
    <w:name w:val="List 5"/>
    <w:basedOn w:val="BodyText"/>
    <w:rsid w:val="000E4286"/>
    <w:pPr>
      <w:tabs>
        <w:tab w:val="left" w:pos="1701"/>
      </w:tabs>
      <w:spacing w:before="60" w:after="60"/>
      <w:ind w:left="1701" w:hanging="340"/>
    </w:pPr>
  </w:style>
  <w:style w:type="paragraph" w:styleId="ListBullet3">
    <w:name w:val="List Bullet 3"/>
    <w:basedOn w:val="List3"/>
    <w:rsid w:val="000E4286"/>
    <w:pPr>
      <w:numPr>
        <w:numId w:val="12"/>
      </w:numPr>
      <w:tabs>
        <w:tab w:val="clear" w:pos="1021"/>
      </w:tabs>
      <w:ind w:left="1037" w:hanging="357"/>
    </w:pPr>
  </w:style>
  <w:style w:type="paragraph" w:styleId="ListBullet4">
    <w:name w:val="List Bullet 4"/>
    <w:basedOn w:val="List4"/>
    <w:rsid w:val="000E4286"/>
    <w:pPr>
      <w:numPr>
        <w:numId w:val="1"/>
      </w:numPr>
      <w:tabs>
        <w:tab w:val="clear" w:pos="1361"/>
      </w:tabs>
    </w:pPr>
  </w:style>
  <w:style w:type="paragraph" w:styleId="ListBullet5">
    <w:name w:val="List Bullet 5"/>
    <w:basedOn w:val="List5"/>
    <w:rsid w:val="000E4286"/>
    <w:pPr>
      <w:numPr>
        <w:numId w:val="2"/>
      </w:numPr>
    </w:pPr>
  </w:style>
  <w:style w:type="paragraph" w:styleId="ListContinue2">
    <w:name w:val="List Continue 2"/>
    <w:basedOn w:val="List2"/>
    <w:rsid w:val="000E4286"/>
    <w:pPr>
      <w:ind w:firstLine="0"/>
    </w:pPr>
  </w:style>
  <w:style w:type="paragraph" w:styleId="ListContinue3">
    <w:name w:val="List Continue 3"/>
    <w:basedOn w:val="List3"/>
    <w:rsid w:val="000E4286"/>
    <w:pPr>
      <w:ind w:left="1021" w:firstLine="0"/>
    </w:pPr>
  </w:style>
  <w:style w:type="paragraph" w:styleId="ListContinue4">
    <w:name w:val="List Continue 4"/>
    <w:basedOn w:val="List4"/>
    <w:rsid w:val="000E4286"/>
    <w:pPr>
      <w:ind w:firstLine="0"/>
    </w:pPr>
  </w:style>
  <w:style w:type="paragraph" w:styleId="ListContinue5">
    <w:name w:val="List Continue 5"/>
    <w:basedOn w:val="List5"/>
    <w:rsid w:val="000E4286"/>
    <w:pPr>
      <w:ind w:firstLine="0"/>
    </w:pPr>
  </w:style>
  <w:style w:type="paragraph" w:styleId="ListNumber3">
    <w:name w:val="List Number 3"/>
    <w:basedOn w:val="List3"/>
    <w:rsid w:val="000E4286"/>
    <w:pPr>
      <w:numPr>
        <w:numId w:val="3"/>
      </w:numPr>
    </w:pPr>
  </w:style>
  <w:style w:type="paragraph" w:styleId="ListNumber4">
    <w:name w:val="List Number 4"/>
    <w:basedOn w:val="List4"/>
    <w:rsid w:val="000E4286"/>
    <w:pPr>
      <w:numPr>
        <w:numId w:val="4"/>
      </w:numPr>
    </w:pPr>
  </w:style>
  <w:style w:type="paragraph" w:styleId="ListNumber5">
    <w:name w:val="List Number 5"/>
    <w:basedOn w:val="List5"/>
    <w:rsid w:val="000E4286"/>
    <w:pPr>
      <w:numPr>
        <w:numId w:val="5"/>
      </w:numPr>
    </w:pPr>
  </w:style>
  <w:style w:type="paragraph" w:styleId="BlockText">
    <w:name w:val="Block Text"/>
    <w:basedOn w:val="Normal"/>
    <w:rsid w:val="000E4286"/>
    <w:pPr>
      <w:spacing w:after="120"/>
      <w:ind w:left="1440" w:right="1440"/>
    </w:pPr>
  </w:style>
  <w:style w:type="character" w:customStyle="1" w:styleId="Subscript">
    <w:name w:val="Subscript"/>
    <w:basedOn w:val="DefaultParagraphFont"/>
    <w:rsid w:val="000E4286"/>
    <w:rPr>
      <w:sz w:val="16"/>
      <w:vertAlign w:val="subscript"/>
    </w:rPr>
  </w:style>
  <w:style w:type="character" w:customStyle="1" w:styleId="Superscript">
    <w:name w:val="Superscript"/>
    <w:basedOn w:val="DefaultParagraphFont"/>
    <w:rsid w:val="000E4286"/>
    <w:rPr>
      <w:sz w:val="16"/>
      <w:vertAlign w:val="superscript"/>
    </w:rPr>
  </w:style>
  <w:style w:type="character" w:customStyle="1" w:styleId="Symbols">
    <w:name w:val="Symbols"/>
    <w:basedOn w:val="DefaultParagraphFont"/>
    <w:rsid w:val="000E4286"/>
    <w:rPr>
      <w:rFonts w:ascii="Symbol" w:hAnsi="Symbol"/>
    </w:rPr>
  </w:style>
  <w:style w:type="character" w:customStyle="1" w:styleId="MenuOptions">
    <w:name w:val="Menu Options"/>
    <w:basedOn w:val="DefaultParagraphFont"/>
    <w:rsid w:val="000E4286"/>
    <w:rPr>
      <w:rFonts w:ascii="Arial Narrow" w:hAnsi="Arial Narrow"/>
      <w:smallCaps/>
    </w:rPr>
  </w:style>
  <w:style w:type="character" w:customStyle="1" w:styleId="Buttons">
    <w:name w:val="Buttons"/>
    <w:basedOn w:val="DefaultParagraphFont"/>
    <w:rsid w:val="000E4286"/>
    <w:rPr>
      <w:b/>
    </w:rPr>
  </w:style>
  <w:style w:type="character" w:customStyle="1" w:styleId="Underlined">
    <w:name w:val="Underlined"/>
    <w:basedOn w:val="DefaultParagraphFont"/>
    <w:rsid w:val="000E4286"/>
    <w:rPr>
      <w:u w:val="single"/>
    </w:rPr>
  </w:style>
  <w:style w:type="paragraph" w:customStyle="1" w:styleId="TableBodyTextRight">
    <w:name w:val="Table Body Text Right"/>
    <w:basedOn w:val="TableBodyText"/>
    <w:rsid w:val="000E4286"/>
    <w:pPr>
      <w:widowControl w:val="0"/>
      <w:autoSpaceDE w:val="0"/>
      <w:autoSpaceDN w:val="0"/>
      <w:adjustRightInd w:val="0"/>
      <w:jc w:val="right"/>
    </w:pPr>
    <w:rPr>
      <w:rFonts w:cs="Arial"/>
      <w:szCs w:val="18"/>
    </w:rPr>
  </w:style>
  <w:style w:type="paragraph" w:customStyle="1" w:styleId="CopyrightText">
    <w:name w:val="Copyright Text"/>
    <w:basedOn w:val="BodyText"/>
    <w:rsid w:val="000E4286"/>
    <w:rPr>
      <w:sz w:val="18"/>
    </w:rPr>
  </w:style>
  <w:style w:type="paragraph" w:customStyle="1" w:styleId="BodySmallRight">
    <w:name w:val="Body Small Right"/>
    <w:basedOn w:val="BodyTextRight"/>
    <w:rsid w:val="000E4286"/>
    <w:rPr>
      <w:sz w:val="18"/>
      <w:szCs w:val="18"/>
    </w:rPr>
  </w:style>
  <w:style w:type="paragraph" w:customStyle="1" w:styleId="MarginEdition">
    <w:name w:val="Margin Edition"/>
    <w:basedOn w:val="MarginNote"/>
    <w:rsid w:val="000E4286"/>
    <w:pPr>
      <w:spacing w:before="0" w:after="0"/>
    </w:pPr>
    <w:rPr>
      <w:rFonts w:ascii="Times New Roman" w:hAnsi="Times New Roman"/>
      <w:color w:val="999999"/>
    </w:rPr>
  </w:style>
  <w:style w:type="paragraph" w:customStyle="1" w:styleId="Spacer">
    <w:name w:val="Spacer"/>
    <w:basedOn w:val="Normal"/>
    <w:rsid w:val="000E4286"/>
    <w:rPr>
      <w:sz w:val="2"/>
      <w:szCs w:val="2"/>
    </w:rPr>
  </w:style>
  <w:style w:type="character" w:customStyle="1" w:styleId="Small">
    <w:name w:val="Small"/>
    <w:basedOn w:val="DefaultParagraphFont"/>
    <w:rsid w:val="000E4286"/>
    <w:rPr>
      <w:sz w:val="16"/>
    </w:rPr>
  </w:style>
  <w:style w:type="paragraph" w:customStyle="1" w:styleId="WideTable">
    <w:name w:val="Wide Table"/>
    <w:basedOn w:val="Normal"/>
    <w:rsid w:val="000E4286"/>
    <w:pPr>
      <w:ind w:left="-1418"/>
    </w:pPr>
    <w:rPr>
      <w:sz w:val="2"/>
      <w:szCs w:val="2"/>
    </w:rPr>
  </w:style>
  <w:style w:type="character" w:styleId="PageNumber">
    <w:name w:val="page number"/>
    <w:basedOn w:val="DefaultParagraphFont"/>
    <w:rsid w:val="000E4286"/>
  </w:style>
  <w:style w:type="paragraph" w:styleId="Quote">
    <w:name w:val="Quote"/>
    <w:basedOn w:val="Heading1"/>
    <w:link w:val="QuoteChar"/>
    <w:qFormat/>
    <w:rsid w:val="000E4286"/>
    <w:rPr>
      <w:b w:val="0"/>
      <w:sz w:val="72"/>
      <w:szCs w:val="72"/>
      <w:lang w:val="en-NZ"/>
    </w:rPr>
  </w:style>
  <w:style w:type="character" w:customStyle="1" w:styleId="QuoteChar">
    <w:name w:val="Quote Char"/>
    <w:basedOn w:val="DefaultParagraphFont"/>
    <w:link w:val="Quote"/>
    <w:rsid w:val="000E4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286"/>
    <w:pPr>
      <w:pageBreakBefore/>
    </w:pPr>
  </w:style>
  <w:style w:type="paragraph" w:customStyle="1" w:styleId="Border">
    <w:name w:val="Border"/>
    <w:basedOn w:val="Normal"/>
    <w:qFormat/>
    <w:rsid w:val="000E4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286"/>
    <w:rPr>
      <w:b/>
      <w:bCs/>
      <w:i/>
      <w:iCs/>
      <w:color w:val="auto"/>
    </w:rPr>
  </w:style>
  <w:style w:type="paragraph" w:styleId="IntenseQuote">
    <w:name w:val="Intense Quote"/>
    <w:basedOn w:val="Normal"/>
    <w:next w:val="Normal"/>
    <w:link w:val="IntenseQuoteChar"/>
    <w:uiPriority w:val="30"/>
    <w:qFormat/>
    <w:rsid w:val="000E4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286"/>
    <w:rPr>
      <w:smallCaps/>
      <w:color w:val="auto"/>
      <w:u w:val="single"/>
    </w:rPr>
  </w:style>
  <w:style w:type="character" w:styleId="IntenseReference">
    <w:name w:val="Intense Reference"/>
    <w:basedOn w:val="DefaultParagraphFont"/>
    <w:uiPriority w:val="32"/>
    <w:qFormat/>
    <w:rsid w:val="000E4286"/>
    <w:rPr>
      <w:b/>
      <w:bCs/>
      <w:smallCaps/>
      <w:color w:val="auto"/>
      <w:spacing w:val="5"/>
      <w:u w:val="single"/>
    </w:rPr>
  </w:style>
  <w:style w:type="paragraph" w:customStyle="1" w:styleId="2ColumnHeading">
    <w:name w:val="2Column Heading"/>
    <w:basedOn w:val="BodyText"/>
    <w:qFormat/>
    <w:rsid w:val="000E4286"/>
    <w:pPr>
      <w:spacing w:after="60"/>
      <w:ind w:left="-2268"/>
    </w:pPr>
    <w:rPr>
      <w:b/>
    </w:rPr>
  </w:style>
  <w:style w:type="paragraph" w:customStyle="1" w:styleId="Heading1TOC">
    <w:name w:val="Heading1 TOC"/>
    <w:basedOn w:val="Normal"/>
    <w:qFormat/>
    <w:rsid w:val="000E4286"/>
    <w:pPr>
      <w:spacing w:before="240" w:after="120"/>
    </w:pPr>
    <w:rPr>
      <w:rFonts w:ascii="Times New Roman" w:hAnsi="Times New Roman"/>
      <w:b/>
      <w:sz w:val="32"/>
    </w:rPr>
  </w:style>
  <w:style w:type="paragraph" w:customStyle="1" w:styleId="Heading2TOC">
    <w:name w:val="Heading2 TOC"/>
    <w:basedOn w:val="Normal"/>
    <w:qFormat/>
    <w:rsid w:val="000E4286"/>
    <w:pPr>
      <w:spacing w:before="240" w:after="60"/>
    </w:pPr>
    <w:rPr>
      <w:rFonts w:ascii="Times New Roman" w:hAnsi="Times New Roman"/>
      <w:b/>
      <w:sz w:val="28"/>
    </w:rPr>
  </w:style>
  <w:style w:type="character" w:customStyle="1" w:styleId="Underline">
    <w:name w:val="Underline"/>
    <w:basedOn w:val="DefaultParagraphFont"/>
    <w:qFormat/>
    <w:rsid w:val="000E4286"/>
    <w:rPr>
      <w:u w:val="single"/>
    </w:rPr>
  </w:style>
  <w:style w:type="character" w:customStyle="1" w:styleId="BoldandItalics">
    <w:name w:val="Bold and Italics"/>
    <w:qFormat/>
    <w:rsid w:val="000E4286"/>
    <w:rPr>
      <w:b/>
      <w:i/>
      <w:u w:val="none"/>
    </w:rPr>
  </w:style>
  <w:style w:type="paragraph" w:styleId="BalloonText">
    <w:name w:val="Balloon Text"/>
    <w:basedOn w:val="Normal"/>
    <w:link w:val="BalloonTextChar"/>
    <w:rsid w:val="000E4286"/>
    <w:rPr>
      <w:rFonts w:ascii="Tahoma" w:hAnsi="Tahoma" w:cs="Tahoma"/>
      <w:sz w:val="16"/>
      <w:szCs w:val="16"/>
    </w:rPr>
  </w:style>
  <w:style w:type="character" w:customStyle="1" w:styleId="BalloonTextChar">
    <w:name w:val="Balloon Text Char"/>
    <w:basedOn w:val="DefaultParagraphFont"/>
    <w:link w:val="BalloonText"/>
    <w:rsid w:val="000E4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286"/>
    <w:rPr>
      <w:b/>
      <w:color w:val="660033"/>
      <w:spacing w:val="0"/>
    </w:rPr>
  </w:style>
  <w:style w:type="paragraph" w:customStyle="1" w:styleId="Nameditemlist">
    <w:name w:val="Named item list"/>
    <w:basedOn w:val="BodyText"/>
    <w:qFormat/>
    <w:rsid w:val="000E4286"/>
    <w:pPr>
      <w:tabs>
        <w:tab w:val="left" w:pos="2835"/>
      </w:tabs>
      <w:ind w:left="2835" w:hanging="2835"/>
    </w:pPr>
  </w:style>
  <w:style w:type="paragraph" w:customStyle="1" w:styleId="BodyTextnopadding">
    <w:name w:val="Body Text no padding"/>
    <w:basedOn w:val="BodyText"/>
    <w:qFormat/>
    <w:rsid w:val="000E4286"/>
    <w:pPr>
      <w:spacing w:before="0" w:after="0"/>
    </w:pPr>
  </w:style>
  <w:style w:type="paragraph" w:customStyle="1" w:styleId="BodyTextBold">
    <w:name w:val="Body Text Bold"/>
    <w:basedOn w:val="BodyText"/>
    <w:qFormat/>
    <w:rsid w:val="000E4286"/>
    <w:rPr>
      <w:b/>
    </w:rPr>
  </w:style>
  <w:style w:type="character" w:styleId="Hyperlink">
    <w:name w:val="Hyperlink"/>
    <w:basedOn w:val="DefaultParagraphFont"/>
    <w:uiPriority w:val="99"/>
    <w:unhideWhenUsed/>
    <w:rsid w:val="002738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736</Words>
  <Characters>4718</Characters>
  <Application>Microsoft Office Word</Application>
  <DocSecurity>0</DocSecurity>
  <Lines>188</Lines>
  <Paragraphs>81</Paragraphs>
  <ScaleCrop>false</ScaleCrop>
  <Company>Author-it Software Corporation Ltd.</Company>
  <LinksUpToDate>false</LinksUpToDate>
  <CharactersWithSpaces>5373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TLIF0021 Administer the implementation of fatigue management strategies</dc:title>
  <dc:subject>Approved</dc:subject>
  <dc:creator>Industry Skills Australia</dc:creator>
  <cp:keywords>Release: 1</cp:keywords>
  <dc:description>Review Date: 12 April 2008</dc:description>
  <cp:lastModifiedBy>HSD_TPCMSd.prod</cp:lastModifiedBy>
  <cp:revision>3</cp:revision>
  <dcterms:created xsi:type="dcterms:W3CDTF">2024-07-12T08:09:00Z</dcterms:created>
  <dcterms:modified xsi:type="dcterms:W3CDTF">2024-07-12T08:09:00Z</dcterms:modified>
</cp:coreProperties>
</file>