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0E4E" w:rsidP="00040E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TLIF0009 Ensure the safety of transport activities (Chain of Responsibility)</w:t>
      </w:r>
      <w:r>
        <w:fldChar w:fldCharType="end"/>
      </w:r>
    </w:p>
    <w:p w:rsidR="00040E4E" w:rsidP="00040E4E">
      <w:pPr>
        <w:pStyle w:val="Version"/>
        <w:sectPr w:rsidSect="005E1A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E1A14" w:rsidP="005E1A14">
      <w:pPr>
        <w:pStyle w:val="SuperHeading"/>
      </w:pPr>
      <w:r w:rsidRPr="005E1A14">
        <w:t>Assessment Requirements for TLIF0009 Ensure the safety of transport activities (Chain of Responsibility)</w:t>
      </w:r>
    </w:p>
    <w:p w:rsidR="00000000" w:rsidRPr="005E1A14" w:rsidP="005E1A14">
      <w:pPr>
        <w:pStyle w:val="Heading1"/>
      </w:pPr>
      <w:bookmarkStart w:id="1" w:name="O_1284300"/>
      <w:bookmarkEnd w:id="1"/>
      <w:r w:rsidRPr="005E1A1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1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A14" w:rsidP="005E1A14">
            <w:pPr>
              <w:pStyle w:val="BodyText"/>
            </w:pPr>
            <w:r w:rsidRPr="005E1A14">
              <w:rPr>
                <w:rStyle w:val="SpecialBold"/>
              </w:rPr>
              <w:t>Release 2</w:t>
            </w:r>
            <w:r w:rsidRPr="005E1A14">
              <w:t>. This is the second release of this unit of competency in the TLI Transport and Logistics Training Package.</w:t>
            </w:r>
          </w:p>
          <w:p w:rsidR="00000000" w:rsidRPr="005E1A14" w:rsidP="005E1A14">
            <w:pPr>
              <w:pStyle w:val="ListBullet"/>
            </w:pPr>
            <w:r w:rsidRPr="005E1A14">
              <w:t>Added job roles titles to unit Application</w:t>
            </w:r>
          </w:p>
          <w:p w:rsidR="00000000" w:rsidRPr="005E1A14" w:rsidP="005E1A14">
            <w:pPr>
              <w:pStyle w:val="ListBullet"/>
            </w:pPr>
            <w:r w:rsidRPr="005E1A14">
              <w:t>Minor grammatical changes to Performance Criteria</w:t>
            </w:r>
          </w:p>
          <w:p w:rsidR="00000000" w:rsidRPr="005E1A14" w:rsidP="005E1A14">
            <w:pPr>
              <w:pStyle w:val="ListBullet"/>
            </w:pPr>
            <w:r w:rsidRPr="005E1A14">
              <w:t>Minor changes in Performance Evidence to clarify term</w:t>
            </w:r>
            <w:r w:rsidRPr="005E1A14">
              <w:t>inology</w:t>
            </w:r>
          </w:p>
          <w:p w:rsidR="00000000" w:rsidP="005E1A14">
            <w:pPr>
              <w:pStyle w:val="ListBullet"/>
              <w:rPr>
                <w:lang w:val="en-NZ"/>
              </w:rPr>
            </w:pPr>
            <w:r w:rsidRPr="005E1A14">
              <w:t>Minor changes in Knowledge Evidence to clarify terminology.</w:t>
            </w:r>
          </w:p>
        </w:tc>
      </w:tr>
      <w:tr w:rsidTr="005E1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A14" w:rsidP="005E1A14">
            <w:pPr>
              <w:pStyle w:val="BodyText"/>
            </w:pPr>
            <w:r w:rsidRPr="005E1A14">
              <w:rPr>
                <w:rStyle w:val="SpecialBold"/>
              </w:rPr>
              <w:t xml:space="preserve">Release 1. </w:t>
            </w:r>
            <w:r w:rsidRPr="005E1A14">
              <w:t>This is the first release of this unit of competency in the TLI Transport and Logistics Training Package.</w:t>
            </w:r>
          </w:p>
        </w:tc>
      </w:tr>
    </w:tbl>
    <w:p w:rsidR="00000000" w:rsidRPr="005E1A14" w:rsidP="005E1A14">
      <w:pPr>
        <w:pStyle w:val="NoPaddingFontSize1"/>
      </w:pPr>
    </w:p>
    <w:p w:rsidR="00000000" w:rsidRPr="005E1A14" w:rsidP="005E1A14">
      <w:pPr>
        <w:pStyle w:val="AllowPageBreak"/>
      </w:pPr>
    </w:p>
    <w:p w:rsidR="00000000" w:rsidRPr="005E1A14" w:rsidP="005E1A14">
      <w:pPr>
        <w:pStyle w:val="Heading1"/>
      </w:pPr>
      <w:bookmarkStart w:id="2" w:name="O_1284299"/>
      <w:bookmarkEnd w:id="2"/>
      <w:r w:rsidRPr="005E1A1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1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A14" w:rsidP="005E1A14">
            <w:pPr>
              <w:pStyle w:val="BodyText"/>
            </w:pPr>
            <w:r w:rsidRPr="005E1A14">
              <w:t>Evidence required to demonst</w:t>
            </w:r>
            <w:r w:rsidRPr="005E1A14">
              <w:t>rate competence in this unit must be relevant to and satisfy all of the requirements of the elements and performance criteria on at least one occasion and includes:</w:t>
            </w:r>
          </w:p>
          <w:p w:rsidR="00000000" w:rsidRPr="005E1A14" w:rsidP="005E1A14">
            <w:pPr>
              <w:pStyle w:val="ListBullet"/>
            </w:pPr>
            <w:r w:rsidRPr="005E1A14">
              <w:t>applying workplace policies and procedures</w:t>
            </w:r>
          </w:p>
          <w:p w:rsidR="00000000" w:rsidRPr="005E1A14" w:rsidP="005E1A14">
            <w:pPr>
              <w:pStyle w:val="ListBullet"/>
            </w:pPr>
            <w:r w:rsidRPr="005E1A14">
              <w:t>assessing the likelihood and consequences of harm relating to own job function on a minimum of three occasions</w:t>
            </w:r>
          </w:p>
          <w:p w:rsidR="00000000" w:rsidRPr="005E1A14" w:rsidP="005E1A14">
            <w:pPr>
              <w:pStyle w:val="ListBullet"/>
            </w:pPr>
            <w:r w:rsidRPr="005E1A14">
              <w:t>completing safety documentation of identified transport activities of a heavy vehicle risk on a minimum of three occasions, each about a differen</w:t>
            </w:r>
            <w:r w:rsidRPr="005E1A14">
              <w:t>t type of risk</w:t>
            </w:r>
          </w:p>
          <w:p w:rsidR="00000000" w:rsidRPr="005E1A14" w:rsidP="005E1A14">
            <w:pPr>
              <w:pStyle w:val="ListBullet"/>
            </w:pPr>
            <w:r w:rsidRPr="005E1A14">
              <w:t>ensuring safety of transport activities on road</w:t>
            </w:r>
          </w:p>
          <w:p w:rsidR="00000000" w:rsidRPr="005E1A14" w:rsidP="005E1A14">
            <w:pPr>
              <w:pStyle w:val="ListBullet"/>
            </w:pPr>
            <w:r w:rsidRPr="005E1A14">
              <w:t>identifying risks associated with transport activities of own job function and at least two other job functions that could impact heavy vehicle safety on the road (directly or indirectly)</w:t>
            </w:r>
          </w:p>
          <w:p w:rsidR="00000000" w:rsidRPr="005E1A14" w:rsidP="005E1A14">
            <w:pPr>
              <w:pStyle w:val="ListBullet"/>
            </w:pPr>
            <w:r w:rsidRPr="005E1A14">
              <w:t>imple</w:t>
            </w:r>
            <w:r w:rsidRPr="005E1A14">
              <w:t>menting relevant risk control measures relevant to the job function in accordance with workplace procedures on a minimum of three scenarios</w:t>
            </w:r>
          </w:p>
          <w:p w:rsidR="00000000" w:rsidRPr="005E1A14" w:rsidP="005E1A14">
            <w:pPr>
              <w:pStyle w:val="ListBullet"/>
            </w:pPr>
            <w:r w:rsidRPr="005E1A14">
              <w:t>reporting and recording observations and actions taken to address risks to the relevant person in accordance with wo</w:t>
            </w:r>
            <w:r w:rsidRPr="005E1A14">
              <w:t>rkplace procedures on a minimum of three occasions.</w:t>
            </w:r>
          </w:p>
        </w:tc>
      </w:tr>
    </w:tbl>
    <w:p w:rsidR="00000000" w:rsidRPr="005E1A14" w:rsidP="005E1A14">
      <w:pPr>
        <w:pStyle w:val="NoPaddingFontSize1"/>
      </w:pPr>
    </w:p>
    <w:p w:rsidR="00000000" w:rsidRPr="005E1A14" w:rsidP="005E1A14">
      <w:pPr>
        <w:pStyle w:val="AllowPageBreak"/>
      </w:pPr>
    </w:p>
    <w:p w:rsidR="00000000" w:rsidRPr="005E1A14" w:rsidP="005E1A14">
      <w:pPr>
        <w:pStyle w:val="Heading1"/>
      </w:pPr>
      <w:bookmarkStart w:id="3" w:name="O_1284298"/>
      <w:bookmarkEnd w:id="3"/>
      <w:r w:rsidRPr="005E1A1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1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A14" w:rsidP="005E1A14">
            <w:pPr>
              <w:pStyle w:val="BodyText"/>
            </w:pPr>
            <w:r w:rsidRPr="005E1A14">
              <w:t>Evidence required to demonstrate competence in this unit must be relevant to and satisfy all of the requirements of the elements and performance criteria and includ</w:t>
            </w:r>
            <w:r w:rsidRPr="005E1A14">
              <w:t>e knowledge of:</w:t>
            </w:r>
          </w:p>
          <w:p w:rsidR="00000000" w:rsidRPr="005E1A14" w:rsidP="005E1A14">
            <w:pPr>
              <w:pStyle w:val="ListBullet"/>
            </w:pPr>
            <w:r w:rsidRPr="005E1A14">
              <w:t>actions required when possible risks of the transport activities are identified</w:t>
            </w:r>
          </w:p>
          <w:p w:rsidR="00000000" w:rsidRPr="005E1A14" w:rsidP="005E1A14">
            <w:pPr>
              <w:pStyle w:val="ListBullet"/>
            </w:pPr>
            <w:r w:rsidRPr="005E1A14">
              <w:t>consideration of external factors in managing speed and fatigue</w:t>
            </w:r>
          </w:p>
          <w:p w:rsidR="00000000" w:rsidRPr="005E1A14" w:rsidP="005E1A14">
            <w:pPr>
              <w:pStyle w:val="ListBullet"/>
            </w:pPr>
            <w:r w:rsidRPr="005E1A14">
              <w:t>function of driver and how they relate to transport activities, including level of influence an</w:t>
            </w:r>
            <w:r w:rsidRPr="005E1A14">
              <w:t>d control</w:t>
            </w:r>
          </w:p>
          <w:p w:rsidR="00000000" w:rsidRPr="005E1A14" w:rsidP="005E1A14">
            <w:pPr>
              <w:pStyle w:val="ListBullet"/>
            </w:pPr>
            <w:r w:rsidRPr="005E1A14">
              <w:t>heavy vehicle work and rest requirements</w:t>
            </w:r>
          </w:p>
          <w:p w:rsidR="00000000" w:rsidRPr="005E1A14" w:rsidP="005E1A14">
            <w:pPr>
              <w:pStyle w:val="ListBullet"/>
            </w:pPr>
            <w:r w:rsidRPr="005E1A14">
              <w:t>impact of crossing legislative jurisdictions</w:t>
            </w:r>
          </w:p>
          <w:p w:rsidR="00000000" w:rsidRPr="005E1A14" w:rsidP="005E1A14">
            <w:pPr>
              <w:pStyle w:val="ListBullet"/>
            </w:pPr>
            <w:r w:rsidRPr="005E1A14">
              <w:t>methods, industry standards and requirements to ensure safety of transport activities including relation to how they relate to transport activities including:</w:t>
            </w:r>
          </w:p>
          <w:p w:rsidR="00000000" w:rsidRPr="005E1A14" w:rsidP="005E1A14">
            <w:pPr>
              <w:pStyle w:val="ListBullet2"/>
            </w:pPr>
            <w:r w:rsidRPr="005E1A14">
              <w:t>speed</w:t>
            </w:r>
          </w:p>
          <w:p w:rsidR="00000000" w:rsidRPr="005E1A14" w:rsidP="005E1A14">
            <w:pPr>
              <w:pStyle w:val="ListBullet2"/>
            </w:pPr>
            <w:r w:rsidRPr="005E1A14">
              <w:t>fatigue</w:t>
            </w:r>
          </w:p>
          <w:p w:rsidR="00000000" w:rsidRPr="005E1A14" w:rsidP="005E1A14">
            <w:pPr>
              <w:pStyle w:val="ListBullet2"/>
            </w:pPr>
            <w:r w:rsidRPr="005E1A14">
              <w:t>mass requirements</w:t>
            </w:r>
          </w:p>
          <w:p w:rsidR="00000000" w:rsidRPr="005E1A14" w:rsidP="005E1A14">
            <w:pPr>
              <w:pStyle w:val="ListBullet2"/>
            </w:pPr>
            <w:r w:rsidRPr="005E1A14">
              <w:t>dimension requirements</w:t>
            </w:r>
          </w:p>
          <w:p w:rsidR="00000000" w:rsidRPr="005E1A14" w:rsidP="005E1A14">
            <w:pPr>
              <w:pStyle w:val="ListBullet2"/>
            </w:pPr>
            <w:r w:rsidRPr="005E1A14">
              <w:t>loading requirements and load restraint</w:t>
            </w:r>
          </w:p>
          <w:p w:rsidR="00000000" w:rsidRPr="005E1A14" w:rsidP="005E1A14">
            <w:pPr>
              <w:pStyle w:val="ListBullet2"/>
            </w:pPr>
            <w:r w:rsidRPr="005E1A14">
              <w:t>vehicle standards</w:t>
            </w:r>
          </w:p>
          <w:p w:rsidR="00000000" w:rsidRPr="005E1A14" w:rsidP="005E1A14">
            <w:pPr>
              <w:pStyle w:val="ListBullet"/>
            </w:pPr>
            <w:r w:rsidRPr="005E1A14">
              <w:t>parties in the chain of responsibility and the concept of level of influence and control</w:t>
            </w:r>
          </w:p>
          <w:p w:rsidR="00000000" w:rsidRPr="005E1A14" w:rsidP="005E1A14">
            <w:pPr>
              <w:pStyle w:val="ListBullet"/>
            </w:pPr>
            <w:r w:rsidRPr="005E1A14">
              <w:t>potential consequences of non-compliance with the app</w:t>
            </w:r>
            <w:r w:rsidRPr="005E1A14">
              <w:t xml:space="preserve">licable heavy vehicle state/territory law and regulations </w:t>
            </w:r>
          </w:p>
          <w:p w:rsidR="00000000" w:rsidRPr="005E1A14" w:rsidP="005E1A14">
            <w:pPr>
              <w:pStyle w:val="ListBullet"/>
            </w:pPr>
            <w:r w:rsidRPr="005E1A14">
              <w:t>primary duty and executive duty obligations</w:t>
            </w:r>
          </w:p>
          <w:p w:rsidR="00000000" w:rsidRPr="005E1A14" w:rsidP="005E1A14">
            <w:pPr>
              <w:pStyle w:val="ListBullet"/>
            </w:pPr>
            <w:r w:rsidRPr="005E1A14">
              <w:t>principle of shared responsibility</w:t>
            </w:r>
          </w:p>
          <w:p w:rsidR="00000000" w:rsidRPr="005E1A14" w:rsidP="005E1A14">
            <w:pPr>
              <w:pStyle w:val="ListBullet"/>
            </w:pPr>
            <w:r w:rsidRPr="005E1A14">
              <w:t>risks and associated performance of the job functions in relation to safety of a heavy vehicle on a road</w:t>
            </w:r>
          </w:p>
          <w:p w:rsidR="00000000" w:rsidRPr="005E1A14" w:rsidP="005E1A14">
            <w:pPr>
              <w:pStyle w:val="ListBullet"/>
            </w:pPr>
            <w:r w:rsidRPr="005E1A14">
              <w:t>transport act</w:t>
            </w:r>
            <w:r w:rsidRPr="005E1A14">
              <w:t xml:space="preserve">ivities as defined by the Heavy Vehicle National Law (HVNL) or applicable state/territory law and regulations </w:t>
            </w:r>
          </w:p>
          <w:p w:rsidR="00000000" w:rsidRPr="005E1A14" w:rsidP="005E1A14">
            <w:pPr>
              <w:pStyle w:val="ListBullet"/>
            </w:pPr>
            <w:r w:rsidRPr="005E1A14">
              <w:t>what constitutes an unreasonable request</w:t>
            </w:r>
          </w:p>
          <w:p w:rsidR="00000000" w:rsidRPr="005E1A14" w:rsidP="005E1A14">
            <w:pPr>
              <w:pStyle w:val="ListBullet"/>
            </w:pPr>
            <w:r w:rsidRPr="005E1A14">
              <w:t>where to locate current information relating to heavy vehicle transport activities including:</w:t>
            </w:r>
          </w:p>
          <w:p w:rsidR="00000000" w:rsidRPr="005E1A14" w:rsidP="005E1A14">
            <w:pPr>
              <w:pStyle w:val="ListBullet2"/>
            </w:pPr>
            <w:r w:rsidRPr="005E1A14">
              <w:t>codes of practices</w:t>
            </w:r>
          </w:p>
          <w:p w:rsidR="00000000" w:rsidRPr="005E1A14" w:rsidP="005E1A14">
            <w:pPr>
              <w:pStyle w:val="ListBullet2"/>
            </w:pPr>
            <w:r w:rsidRPr="005E1A14">
              <w:t>fatigue-regulated heavy vehicle and definitions</w:t>
            </w:r>
          </w:p>
          <w:p w:rsidR="00000000" w:rsidRPr="005E1A14" w:rsidP="005E1A14">
            <w:pPr>
              <w:pStyle w:val="ListBullet2"/>
            </w:pPr>
            <w:r w:rsidRPr="005E1A14">
              <w:t>heavy vehicle standards</w:t>
            </w:r>
          </w:p>
          <w:p w:rsidR="00000000" w:rsidRPr="005E1A14" w:rsidP="005E1A14">
            <w:pPr>
              <w:pStyle w:val="ListBullet2"/>
            </w:pPr>
            <w:r w:rsidRPr="005E1A14">
              <w:t>securing loads, load placement and load restraint</w:t>
            </w:r>
          </w:p>
          <w:p w:rsidR="00000000" w:rsidRPr="005E1A14" w:rsidP="005E1A14">
            <w:pPr>
              <w:pStyle w:val="ListBullet2"/>
            </w:pPr>
            <w:r w:rsidRPr="005E1A14">
              <w:t>vehicle dimension and mass limits</w:t>
            </w:r>
          </w:p>
          <w:p w:rsidR="00000000" w:rsidRPr="005E1A14" w:rsidP="005E1A14">
            <w:pPr>
              <w:pStyle w:val="ListBullet"/>
            </w:pPr>
            <w:r w:rsidRPr="005E1A14">
              <w:t>workplace policies and procedures for own job function.</w:t>
            </w:r>
          </w:p>
        </w:tc>
      </w:tr>
    </w:tbl>
    <w:p w:rsidR="00000000" w:rsidRPr="005E1A14" w:rsidP="005E1A14">
      <w:pPr>
        <w:pStyle w:val="NoPaddingFontSize1"/>
      </w:pPr>
    </w:p>
    <w:p w:rsidR="00000000" w:rsidRPr="005E1A14" w:rsidP="005E1A14">
      <w:pPr>
        <w:pStyle w:val="AllowPageBreak"/>
      </w:pPr>
    </w:p>
    <w:p w:rsidR="00000000" w:rsidRPr="005E1A14" w:rsidP="005E1A14">
      <w:pPr>
        <w:pStyle w:val="Heading1"/>
      </w:pPr>
      <w:bookmarkStart w:id="4" w:name="O_1284297"/>
      <w:bookmarkEnd w:id="4"/>
      <w:r w:rsidRPr="005E1A1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E1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A14" w:rsidP="005E1A14">
            <w:pPr>
              <w:pStyle w:val="BodyText"/>
            </w:pPr>
            <w:r w:rsidRPr="005E1A14">
              <w:t xml:space="preserve">Assessors must hold credentials specified within the Standards for Registered Training Organisations current at the time of assessment. </w:t>
            </w:r>
          </w:p>
          <w:p w:rsidR="00000000" w:rsidRPr="005E1A14" w:rsidP="005E1A14">
            <w:pPr>
              <w:pStyle w:val="BodyText"/>
            </w:pPr>
            <w:r w:rsidRPr="005E1A14">
              <w:t>Assessment must satisfy the Principles of Assessment and Rules of Evidence and all regulatory req</w:t>
            </w:r>
            <w:r w:rsidRPr="005E1A14">
              <w:t>uirements included within the Standards for Registered Training Organisations current at the time of assessment.</w:t>
            </w:r>
          </w:p>
          <w:p w:rsidR="00000000" w:rsidRPr="005E1A14" w:rsidP="005E1A14">
            <w:pPr>
              <w:pStyle w:val="BodyText"/>
            </w:pPr>
            <w:r w:rsidRPr="005E1A14">
              <w:t>Assessment must occur in workplace operational situations where it is appropriate to do so; where this is not appropriate, assessment must occu</w:t>
            </w:r>
            <w:r w:rsidRPr="005E1A14">
              <w:t>r in simulated workplace operational situations that replicate workplace conditions.</w:t>
            </w:r>
          </w:p>
          <w:p w:rsidR="00000000" w:rsidRPr="005E1A14" w:rsidP="005E1A14">
            <w:pPr>
              <w:pStyle w:val="BodyText"/>
            </w:pPr>
            <w:r w:rsidRPr="005E1A14">
              <w:t>Assessment processes and techniques must be appropriate to the language, literacy and numeracy requirements of the work being performed and the needs of the candidate.</w:t>
            </w:r>
          </w:p>
          <w:p w:rsidR="00000000" w:rsidRPr="005E1A14" w:rsidP="005E1A14">
            <w:pPr>
              <w:pStyle w:val="BodyText"/>
            </w:pPr>
            <w:r w:rsidRPr="005E1A14">
              <w:t>Res</w:t>
            </w:r>
            <w:r w:rsidRPr="005E1A14">
              <w:t>ources for assessment must include:</w:t>
            </w:r>
          </w:p>
          <w:p w:rsidR="00000000" w:rsidRPr="005E1A14" w:rsidP="005E1A14">
            <w:pPr>
              <w:pStyle w:val="ListBullet"/>
            </w:pPr>
            <w:r w:rsidRPr="005E1A14">
              <w:t>a range of relevant exercises, case studies and/or simulations</w:t>
            </w:r>
          </w:p>
          <w:p w:rsidR="00000000" w:rsidRPr="005E1A14" w:rsidP="005E1A14">
            <w:pPr>
              <w:pStyle w:val="ListBullet"/>
            </w:pPr>
            <w:r w:rsidRPr="005E1A14">
              <w:t xml:space="preserve">relevant and appropriate materials, tools, equipment and personal protective equipment (PPE) </w:t>
            </w:r>
            <w:r w:rsidRPr="005E1A14">
              <w:t>currently used in industry</w:t>
            </w:r>
          </w:p>
          <w:p w:rsidR="00000000" w:rsidRPr="005E1A14" w:rsidP="005E1A14">
            <w:pPr>
              <w:pStyle w:val="ListBullet"/>
            </w:pPr>
            <w:r w:rsidRPr="005E1A14">
              <w:t>applicable documentation including l</w:t>
            </w:r>
            <w:r w:rsidRPr="005E1A14">
              <w:t>egislation, regulations, codes of practice, workplace procedures and operation manuals.</w:t>
            </w:r>
          </w:p>
        </w:tc>
      </w:tr>
    </w:tbl>
    <w:p w:rsidR="00000000" w:rsidRPr="005E1A14" w:rsidP="005E1A14">
      <w:pPr>
        <w:pStyle w:val="NoPaddingFontSize1"/>
      </w:pPr>
    </w:p>
    <w:p w:rsidR="00000000" w:rsidRPr="005E1A14" w:rsidP="005E1A14">
      <w:pPr>
        <w:pStyle w:val="AllowPageBreak"/>
      </w:pPr>
    </w:p>
    <w:p w:rsidR="00000000" w:rsidRPr="005E1A14" w:rsidP="005E1A14">
      <w:pPr>
        <w:pStyle w:val="Heading1"/>
      </w:pPr>
      <w:bookmarkStart w:id="5" w:name="O_1284312"/>
      <w:bookmarkEnd w:id="5"/>
      <w:r w:rsidRPr="005E1A14">
        <w:t>Links</w:t>
      </w:r>
    </w:p>
    <w:p w:rsidR="00000000" w:rsidRPr="005E1A14" w:rsidP="00040E4E">
      <w:pPr>
        <w:pStyle w:val="BodyText"/>
      </w:pPr>
      <w:r w:rsidRPr="005E1A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A3B0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E1A14" w:rsidP="005E1A14"/>
    <w:sectPr w:rsidSect="005E1A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A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A14" w:rsidRPr="00040E4E" w:rsidP="00040E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A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E4E" w:rsidP="005E1A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0E4E" w:rsidP="005E1A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40E4E" w:rsidP="005E1A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A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E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1A14" w:rsidRPr="00040E4E" w:rsidP="00040E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A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E4E" w:rsidRPr="002D2AF8" w:rsidP="005E1A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TLIF0009 Ensure the safety of transport activities (Chain of Responsibility)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040E4E" w:rsidP="005E1A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9635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481E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26B7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A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1A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1A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1A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1A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1A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1A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1A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1A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1A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1A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1A14"/>
  </w:style>
  <w:style w:type="character" w:customStyle="1" w:styleId="Heading1Char">
    <w:name w:val="Heading 1 Char"/>
    <w:basedOn w:val="DefaultParagraphFont"/>
    <w:link w:val="Heading1"/>
    <w:rsid w:val="005E1A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1A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1A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1A1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1A14"/>
    <w:rPr>
      <w:b/>
      <w:spacing w:val="0"/>
    </w:rPr>
  </w:style>
  <w:style w:type="paragraph" w:styleId="ListBullet2">
    <w:name w:val="List Bullet 2"/>
    <w:basedOn w:val="List2"/>
    <w:rsid w:val="005E1A1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E1A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1A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E1A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1A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1A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1A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1A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1A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1A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1A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1A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1A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1A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1A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1A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1A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1A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1A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1A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1A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1A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1A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1A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1A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1A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E1A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1A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1A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1A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1A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1A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1A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1A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1A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1A14"/>
    <w:rPr>
      <w:i/>
    </w:rPr>
  </w:style>
  <w:style w:type="paragraph" w:styleId="Caption">
    <w:name w:val="caption"/>
    <w:basedOn w:val="BodyText"/>
    <w:next w:val="Normal"/>
    <w:qFormat/>
    <w:rsid w:val="005E1A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1A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1A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1A14"/>
  </w:style>
  <w:style w:type="paragraph" w:styleId="TableofFigures">
    <w:name w:val="table of figures"/>
    <w:basedOn w:val="Normal"/>
    <w:next w:val="Normal"/>
    <w:semiHidden/>
    <w:rsid w:val="005E1A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1A1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E1A14"/>
    <w:rPr>
      <w:rFonts w:ascii="Wingdings" w:hAnsi="Wingdings"/>
    </w:rPr>
  </w:style>
  <w:style w:type="paragraph" w:customStyle="1" w:styleId="TableHeading">
    <w:name w:val="Table Heading"/>
    <w:basedOn w:val="HeadingBase"/>
    <w:rsid w:val="005E1A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1A14"/>
    <w:rPr>
      <w:color w:val="0033CC"/>
      <w:u w:val="none"/>
    </w:rPr>
  </w:style>
  <w:style w:type="paragraph" w:customStyle="1" w:styleId="BodyTextRight">
    <w:name w:val="Body Text Right"/>
    <w:basedOn w:val="BodyText"/>
    <w:rsid w:val="005E1A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1A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1A1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1A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1A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1A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1A14"/>
    <w:rPr>
      <w:sz w:val="32"/>
    </w:rPr>
  </w:style>
  <w:style w:type="paragraph" w:customStyle="1" w:styleId="HeadingProcedure">
    <w:name w:val="Heading Procedure"/>
    <w:basedOn w:val="HeadingBase"/>
    <w:next w:val="Normal"/>
    <w:rsid w:val="005E1A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1A14"/>
    <w:pPr>
      <w:spacing w:before="60" w:after="60"/>
    </w:pPr>
  </w:style>
  <w:style w:type="paragraph" w:styleId="ListContinue">
    <w:name w:val="List Continue"/>
    <w:basedOn w:val="List"/>
    <w:rsid w:val="005E1A14"/>
    <w:pPr>
      <w:ind w:firstLine="0"/>
    </w:pPr>
  </w:style>
  <w:style w:type="paragraph" w:customStyle="1" w:styleId="ListNote">
    <w:name w:val="List Note"/>
    <w:basedOn w:val="List"/>
    <w:rsid w:val="005E1A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1A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1A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1A14"/>
    <w:rPr>
      <w:rFonts w:ascii="Courier New" w:hAnsi="Courier New"/>
    </w:rPr>
  </w:style>
  <w:style w:type="paragraph" w:customStyle="1" w:styleId="NoteBullet">
    <w:name w:val="Note Bullet"/>
    <w:basedOn w:val="Note"/>
    <w:rsid w:val="005E1A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1A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1A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1A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1A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E1A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1A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1A14"/>
    <w:rPr>
      <w:b/>
      <w:smallCaps/>
    </w:rPr>
  </w:style>
  <w:style w:type="paragraph" w:customStyle="1" w:styleId="TableListNumber">
    <w:name w:val="Table List Number"/>
    <w:basedOn w:val="ListNumber"/>
    <w:rsid w:val="005E1A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1A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1A14"/>
    <w:pPr>
      <w:numPr>
        <w:numId w:val="9"/>
      </w:numPr>
    </w:pPr>
  </w:style>
  <w:style w:type="paragraph" w:customStyle="1" w:styleId="ListAlpha2">
    <w:name w:val="List Alpha 2"/>
    <w:basedOn w:val="List2"/>
    <w:rsid w:val="005E1A14"/>
    <w:pPr>
      <w:numPr>
        <w:numId w:val="8"/>
      </w:numPr>
    </w:pPr>
  </w:style>
  <w:style w:type="paragraph" w:styleId="List2">
    <w:name w:val="List 2"/>
    <w:basedOn w:val="BodyText"/>
    <w:rsid w:val="005E1A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1A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1A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1A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1A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1A1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E1A14"/>
    <w:pPr>
      <w:numPr>
        <w:numId w:val="4"/>
      </w:numPr>
    </w:pPr>
  </w:style>
  <w:style w:type="paragraph" w:styleId="ListContinue2">
    <w:name w:val="List Continue 2"/>
    <w:basedOn w:val="List2"/>
    <w:rsid w:val="005E1A14"/>
    <w:pPr>
      <w:ind w:firstLine="0"/>
    </w:pPr>
  </w:style>
  <w:style w:type="paragraph" w:styleId="ListContinue3">
    <w:name w:val="List Continue 3"/>
    <w:basedOn w:val="List3"/>
    <w:rsid w:val="005E1A14"/>
    <w:pPr>
      <w:ind w:left="1021" w:firstLine="0"/>
    </w:pPr>
  </w:style>
  <w:style w:type="paragraph" w:styleId="ListContinue4">
    <w:name w:val="List Continue 4"/>
    <w:basedOn w:val="List4"/>
    <w:rsid w:val="005E1A14"/>
    <w:pPr>
      <w:ind w:firstLine="0"/>
    </w:pPr>
  </w:style>
  <w:style w:type="paragraph" w:styleId="ListContinue5">
    <w:name w:val="List Continue 5"/>
    <w:basedOn w:val="List5"/>
    <w:rsid w:val="005E1A14"/>
    <w:pPr>
      <w:ind w:firstLine="0"/>
    </w:pPr>
  </w:style>
  <w:style w:type="paragraph" w:styleId="ListNumber3">
    <w:name w:val="List Number 3"/>
    <w:basedOn w:val="List3"/>
    <w:rsid w:val="005E1A14"/>
    <w:pPr>
      <w:numPr>
        <w:numId w:val="5"/>
      </w:numPr>
    </w:pPr>
  </w:style>
  <w:style w:type="paragraph" w:styleId="ListNumber4">
    <w:name w:val="List Number 4"/>
    <w:basedOn w:val="List4"/>
    <w:rsid w:val="005E1A14"/>
    <w:pPr>
      <w:numPr>
        <w:numId w:val="6"/>
      </w:numPr>
    </w:pPr>
  </w:style>
  <w:style w:type="paragraph" w:styleId="ListNumber5">
    <w:name w:val="List Number 5"/>
    <w:basedOn w:val="List5"/>
    <w:rsid w:val="005E1A14"/>
    <w:pPr>
      <w:numPr>
        <w:numId w:val="7"/>
      </w:numPr>
    </w:pPr>
  </w:style>
  <w:style w:type="paragraph" w:styleId="BlockText">
    <w:name w:val="Block Text"/>
    <w:basedOn w:val="Normal"/>
    <w:rsid w:val="005E1A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1A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1A14"/>
    <w:rPr>
      <w:sz w:val="16"/>
      <w:vertAlign w:val="superscript"/>
    </w:rPr>
  </w:style>
  <w:style w:type="character" w:customStyle="1" w:styleId="Symbols">
    <w:name w:val="Symbols"/>
    <w:basedOn w:val="DefaultParagraphFont"/>
    <w:rsid w:val="005E1A14"/>
    <w:rPr>
      <w:rFonts w:ascii="Symbol" w:hAnsi="Symbol"/>
    </w:rPr>
  </w:style>
  <w:style w:type="character" w:customStyle="1" w:styleId="MenuOptions">
    <w:name w:val="Menu Options"/>
    <w:basedOn w:val="DefaultParagraphFont"/>
    <w:rsid w:val="005E1A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1A14"/>
    <w:rPr>
      <w:b/>
    </w:rPr>
  </w:style>
  <w:style w:type="character" w:customStyle="1" w:styleId="Underlined">
    <w:name w:val="Underlined"/>
    <w:basedOn w:val="DefaultParagraphFont"/>
    <w:rsid w:val="005E1A14"/>
    <w:rPr>
      <w:u w:val="single"/>
    </w:rPr>
  </w:style>
  <w:style w:type="paragraph" w:customStyle="1" w:styleId="TableBodyTextRight">
    <w:name w:val="Table Body Text Right"/>
    <w:basedOn w:val="TableBodyText"/>
    <w:rsid w:val="005E1A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1A14"/>
    <w:rPr>
      <w:sz w:val="18"/>
    </w:rPr>
  </w:style>
  <w:style w:type="paragraph" w:customStyle="1" w:styleId="BodySmallRight">
    <w:name w:val="Body Small Right"/>
    <w:basedOn w:val="BodyTextRight"/>
    <w:rsid w:val="005E1A14"/>
    <w:rPr>
      <w:sz w:val="18"/>
      <w:szCs w:val="18"/>
    </w:rPr>
  </w:style>
  <w:style w:type="paragraph" w:customStyle="1" w:styleId="MarginEdition">
    <w:name w:val="Margin Edition"/>
    <w:basedOn w:val="MarginNote"/>
    <w:rsid w:val="005E1A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1A14"/>
    <w:rPr>
      <w:sz w:val="2"/>
      <w:szCs w:val="2"/>
    </w:rPr>
  </w:style>
  <w:style w:type="character" w:customStyle="1" w:styleId="Small">
    <w:name w:val="Small"/>
    <w:basedOn w:val="DefaultParagraphFont"/>
    <w:rsid w:val="005E1A14"/>
    <w:rPr>
      <w:sz w:val="16"/>
    </w:rPr>
  </w:style>
  <w:style w:type="paragraph" w:customStyle="1" w:styleId="WideTable">
    <w:name w:val="Wide Table"/>
    <w:basedOn w:val="Normal"/>
    <w:rsid w:val="005E1A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1A14"/>
  </w:style>
  <w:style w:type="paragraph" w:styleId="Quote">
    <w:name w:val="Quote"/>
    <w:basedOn w:val="Heading1"/>
    <w:link w:val="QuoteChar"/>
    <w:qFormat/>
    <w:rsid w:val="005E1A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1A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1A14"/>
    <w:pPr>
      <w:pageBreakBefore/>
    </w:pPr>
  </w:style>
  <w:style w:type="paragraph" w:customStyle="1" w:styleId="Border">
    <w:name w:val="Border"/>
    <w:basedOn w:val="Normal"/>
    <w:qFormat/>
    <w:rsid w:val="005E1A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1A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1A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1A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1A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1A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1A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1A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1A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1A14"/>
    <w:rPr>
      <w:u w:val="single"/>
    </w:rPr>
  </w:style>
  <w:style w:type="character" w:customStyle="1" w:styleId="BoldandItalics">
    <w:name w:val="Bold and Italics"/>
    <w:qFormat/>
    <w:rsid w:val="005E1A14"/>
    <w:rPr>
      <w:b/>
      <w:i/>
      <w:u w:val="none"/>
    </w:rPr>
  </w:style>
  <w:style w:type="paragraph" w:styleId="BalloonText">
    <w:name w:val="Balloon Text"/>
    <w:basedOn w:val="Normal"/>
    <w:link w:val="BalloonTextChar"/>
    <w:rsid w:val="005E1A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1A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1A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1A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1A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1A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1A14"/>
    <w:pPr>
      <w:spacing w:before="0" w:after="0"/>
    </w:pPr>
  </w:style>
  <w:style w:type="paragraph" w:customStyle="1" w:styleId="BodyTextBold">
    <w:name w:val="Body Text Bold"/>
    <w:basedOn w:val="BodyText"/>
    <w:qFormat/>
    <w:rsid w:val="005E1A14"/>
    <w:rPr>
      <w:b/>
    </w:rPr>
  </w:style>
  <w:style w:type="character" w:styleId="Hyperlink">
    <w:name w:val="Hyperlink"/>
    <w:basedOn w:val="DefaultParagraphFont"/>
    <w:uiPriority w:val="99"/>
    <w:unhideWhenUsed/>
    <w:rsid w:val="00040E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673</Words>
  <Characters>4223</Characters>
  <Application>Microsoft Office Word</Application>
  <DocSecurity>0</DocSecurity>
  <Lines>95</Lines>
  <Paragraphs>68</Paragraphs>
  <ScaleCrop>false</ScaleCrop>
  <Company>Author-it Software Corporation Ltd.</Company>
  <LinksUpToDate>false</LinksUpToDate>
  <CharactersWithSpaces>4828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TLIF0009 Ensure the safety of transport activities (Chain of Responsibility)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2024-09-27T00:38:00Z</dcterms:created>
  <dcterms:modified xsi:type="dcterms:W3CDTF">2024-09-27T00:38:00Z</dcterms:modified>
</cp:coreProperties>
</file>