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D99" w:rsidP="00FA0D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TLIF0007 Manage a fatigue risk management system</w:t>
      </w:r>
      <w:r>
        <w:fldChar w:fldCharType="end"/>
      </w:r>
    </w:p>
    <w:p w:rsidR="00FA0D99" w:rsidP="00FA0D99">
      <w:pPr>
        <w:pStyle w:val="Version"/>
        <w:sectPr w:rsidSect="006340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0E6" w:rsidP="006340E6">
      <w:pPr>
        <w:pStyle w:val="SuperHeading"/>
      </w:pPr>
      <w:r w:rsidRPr="006340E6">
        <w:t>TLIF0007 Manage a fatigue risk management system</w:t>
      </w:r>
    </w:p>
    <w:p w:rsidR="00000000" w:rsidRPr="006340E6" w:rsidP="006340E6">
      <w:pPr>
        <w:pStyle w:val="Heading1"/>
      </w:pPr>
      <w:bookmarkStart w:id="1" w:name="O_955065"/>
      <w:bookmarkEnd w:id="1"/>
      <w:r w:rsidRPr="006340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0D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Release 1.</w:t>
            </w:r>
            <w:r w:rsidRPr="006340E6">
              <w:t xml:space="preserve"> This is the first release of this unit of competency in the TLI Transport and Logistics Training Package.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2" w:name="O_955073"/>
      <w:bookmarkEnd w:id="2"/>
      <w:r w:rsidRPr="006340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This unit of competency involves the skills and knowledge required for road tra</w:t>
            </w:r>
            <w:r w:rsidRPr="006340E6">
              <w:t>nsport business owners and agents of heavy vehicle drivers to oversee and operate a fatigue risk management system within the Transport and Logistics industry.</w:t>
            </w:r>
          </w:p>
          <w:p w:rsidR="00000000" w:rsidRPr="006340E6" w:rsidP="006340E6">
            <w:pPr>
              <w:pStyle w:val="BodyText"/>
            </w:pPr>
            <w:r w:rsidRPr="006340E6">
              <w:t>It includes identifying legal requirements, responsibilities and liabilities for establishing an</w:t>
            </w:r>
            <w:r w:rsidRPr="006340E6">
              <w:t xml:space="preserve">d/or improving fatigue risk management implementation plans; operating within a fatigue risk management system; and managing operations. </w:t>
            </w:r>
          </w:p>
          <w:p w:rsidR="00000000" w:rsidRPr="006340E6" w:rsidP="006340E6">
            <w:pPr>
              <w:pStyle w:val="BodyText"/>
            </w:pPr>
            <w:r w:rsidRPr="006340E6">
              <w:t>It also includes communicating; updating records, policies and procedures; acting appropriately on reports and identif</w:t>
            </w:r>
            <w:r w:rsidRPr="006340E6">
              <w:t>ied breaches of fatigue management regulations; and ensuring operational systems are compliant with fatigue management regulations and policy.</w:t>
            </w:r>
          </w:p>
          <w:p w:rsidR="00000000" w:rsidRPr="006340E6" w:rsidP="006340E6">
            <w:pPr>
              <w:pStyle w:val="BodyText"/>
            </w:pPr>
            <w:r w:rsidRPr="006340E6">
              <w:t>Agents of heavy vehicle drivers and/or business owners are defined as a ‘relevant party’ under Heavy Vehicle Nati</w:t>
            </w:r>
            <w:r w:rsidRPr="006340E6">
              <w:t>onal Law (HVNL), with responsibility for operating policies and procedures; human resources and contract provisions; and arrangements for managing safety and fatigue risk management.</w:t>
            </w:r>
          </w:p>
          <w:p w:rsidR="00000000" w:rsidRPr="006340E6" w:rsidP="006340E6">
            <w:pPr>
              <w:pStyle w:val="BodyText"/>
            </w:pPr>
            <w:r w:rsidRPr="006340E6">
              <w:t xml:space="preserve">Legislative and regulatory requirements are applicable to this unit. The </w:t>
            </w:r>
            <w:r w:rsidRPr="006340E6">
              <w:t>primary legislative requirement of this unit of competency is HVNL.</w:t>
            </w:r>
          </w:p>
          <w:p w:rsidR="00000000" w:rsidRPr="006340E6" w:rsidP="006340E6">
            <w:pPr>
              <w:pStyle w:val="BodyText"/>
            </w:pPr>
            <w:r w:rsidRPr="006340E6">
              <w:t>This unit is also intended for road transport business owners and agents of heavy vehicle drivers who in future may be required to satisfy National Heavy Vehicle Regulator (NHVR) Fatigue M</w:t>
            </w:r>
            <w:r w:rsidRPr="006340E6">
              <w:t>anagement Accreditation legislative requirements. Prospective applicants should check with the NHVR before undertaking training and/or assessment.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3" w:name="O_955072"/>
      <w:bookmarkEnd w:id="3"/>
      <w:r w:rsidRPr="006340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Not applicable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4" w:name="O_955071"/>
      <w:bookmarkEnd w:id="4"/>
      <w:r w:rsidRPr="006340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F –</w:t>
            </w:r>
            <w:r w:rsidRPr="006340E6">
              <w:t xml:space="preserve"> Safety Management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5" w:name="O_955070"/>
      <w:bookmarkEnd w:id="5"/>
      <w:r w:rsidRPr="006340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Not applicable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6" w:name="O_955069"/>
      <w:bookmarkEnd w:id="6"/>
      <w:r w:rsidRPr="006340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PERFORMANCE CRITERIA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Performance criteria describe the performance needed to demonstrate achievement of the element.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1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Implement a heavy vehicle fatigue risk management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Heavy vehicle fatigue risk management system and workplace policies and procedures are planned,</w:t>
            </w:r>
            <w:r w:rsidRPr="006340E6">
              <w:t xml:space="preserve"> developed and implemented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Workplace fatigue risk management system and related policies and procedures are managed and maintained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HVNL requirements, workplace procedures and duty of care for fatigue risk management are identified and managed in accordance with fatigue hierarchy of risk control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External risk factors within the supply chain relating to the effects of fatigue are</w:t>
            </w:r>
            <w:r w:rsidRPr="006340E6">
              <w:t xml:space="preserve"> identified and reviewed in accordance with fatigue management regulations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Appropriate action is taken in conjunction with relevant parties in the chain of responsibility to ensure compliance with the workplace’s fatigue risk management policy and p</w:t>
            </w:r>
            <w:r w:rsidRPr="006340E6">
              <w:t>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Appropriate action is taken to ensure communication with drivers and other relevant personnel regarding health, wellbeing and personal fatigue risk management strategies, takes place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Training is provided to develop and enhance heavy vehicle driver workplace fatigue risk management strategies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2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Operate within a road transport fatigue risk management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Fatigue risk management plans, policies and procedures are distributed to re</w:t>
            </w:r>
            <w:r w:rsidRPr="006340E6">
              <w:t>levant personnel in accordance with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Fatigue risk principles are identified and applied while operating within a fatigue risk management system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Action is taken to ensure heavy vehicle driver rest and work periods are audited and managed in compliance with HVNL, taking into account driver fitness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Reports relating to non-compliance with workplace fatigue incidents are investigated and details</w:t>
            </w:r>
            <w:r w:rsidRPr="006340E6">
              <w:t xml:space="preserve"> of action </w:t>
            </w:r>
            <w:r w:rsidRPr="006340E6">
              <w:t>taken to prevent recurrences are documented in accordance with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Relevant personnel who contributed to a non-compliance with workplace fatigue procedures are provided with appropriate feedback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Outcome of incidents and safety investigations are reviewed and analysed to identify the extent to which fatigue may have been a contributing factor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Heavy vehicle regulation compliance and fatigue risk management strategies, are identified and implemented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Exemption notice requirements are applied in accordance with workplace procedures and the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Periodic audits of the fatigue risk mana</w:t>
            </w:r>
            <w:r w:rsidRPr="006340E6">
              <w:t>gement system are carried out in accordance with workplace 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 xml:space="preserve">Legal requirements, liabilities and responsibilities for effective fatigue risk management in the workplace are managed and complied with 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Management and schedul</w:t>
            </w:r>
            <w:r w:rsidRPr="006340E6">
              <w:t>ing of heavy vehicle driver rest/work hours, with consideration for trip and road conditions, is carried out in accordance with workplace 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Processes are followed to identify signs and symptoms of fatigue in heavy vehicle drivers and action is taken in accordance with workplace 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Potential causes and symptoms of fatigue are identified, documented and actions are taken</w:t>
            </w:r>
            <w:r w:rsidRPr="006340E6">
              <w:t xml:space="preserve"> to manage and minimise their effects in accordance with the fatigue risk management system, workplace policies and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 xml:space="preserve">Trip conditions, timelines, work and rest requirements are planned and reviewed to minimise driver fatigue in accordance </w:t>
            </w:r>
            <w:r w:rsidRPr="006340E6">
              <w:t>with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2.15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Deviations to proposed trips are advised to heavy vehicle drivers and relevant personnel in accordance with workplace 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3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Manage operations within a road transport fatigue risk management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Reviews/comparisons of trip schedules to actual work/rest hours are undertaken and where non-compliance is identified, action is taken to analyse, rectify and document the non compliance in accordance with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Heavy vehicle driver i</w:t>
            </w:r>
            <w:r w:rsidRPr="006340E6">
              <w:t>nput into schedules is obtained and considered when planning trips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Trip conditions, timelines, work and rest requirements are planned and reviewed to minimise driver fatigue in accordance with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Heavy vehicle driver schedules are managed in accordance with HVNL and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Loading and unloading heavy vehicles are managed so as not to contribute to driver becoming impaired by fatigue in accordance with HVNL and workplace procedu</w:t>
            </w:r>
            <w:r w:rsidRPr="006340E6">
              <w:t>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Audit requirements are continuously managed in accordance with HVNL and workplace procedures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4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Communicate required information to relevant personnel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 xml:space="preserve">Fatigue risk management system policies and procedures are communicated to all personnel, </w:t>
            </w:r>
            <w:r w:rsidRPr="006340E6">
              <w:t>this communication is documented and training is provided to maintain compliance with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 xml:space="preserve">Non-compliance involving external parties in the chain of responsibility is recognised, reported and communicated in accordance with workplace </w:t>
            </w:r>
            <w:r w:rsidRPr="006340E6">
              <w:t>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Heavy vehicle drivers are provided with feedback on identified non-compliance with fatigue risk management strategies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Support, training and/or counselling is provided to heavy vehicle drivers to address non-compliance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Changes in schedules/rosters and workplace procedures that impact on fatigue risk management are documented and communicated to relevant personnel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5</w:t>
            </w:r>
          </w:p>
        </w:tc>
        <w:tc>
          <w:tcPr>
            <w:tcW w:w="28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rPr>
                <w:rStyle w:val="SpecialBold"/>
              </w:rPr>
              <w:t>Update and maintain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Fatigue risk management record storage and retrieval policies and proc</w:t>
            </w:r>
            <w:r w:rsidRPr="006340E6">
              <w:t>edures are followed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Road transport fatigue risk management system and workplace policies and procedures are reviewed and amended as required to ensure compliance with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Work diary/records are monitored and audited for compliance with workplace procedures and HVNL, and audit findings are documented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Relevant heavy vehicle workplace records are maintained and stored in accordance with workplace policies and procedures</w:t>
            </w:r>
            <w:r w:rsidRPr="006340E6">
              <w:t>,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Potential fatigue hazards and control measures are listed on a fatigue risk management register in accordance with workplace procedures and HVNL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t>Exemptions to work and rest hours and/or record keeping are appropriately identified a</w:t>
            </w:r>
            <w:r w:rsidRPr="006340E6">
              <w:t>nd documented</w:t>
            </w:r>
          </w:p>
        </w:tc>
      </w:tr>
      <w:tr w:rsidTr="006340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0E6">
            <w:pPr>
              <w:pStyle w:val="BodyText"/>
              <w:rPr>
                <w:lang w:val="en-NZ"/>
              </w:rPr>
            </w:pPr>
            <w:r w:rsidRPr="006340E6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Workplace records, systems and procedures are reviewed to ensure compliance with HVNL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7" w:name="O_955068"/>
      <w:bookmarkEnd w:id="7"/>
      <w:r w:rsidRPr="006340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Foundation skills essential to performance are explicit in the performance criteria of this unit of competency.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8" w:name="O_955067"/>
      <w:bookmarkEnd w:id="8"/>
      <w:r w:rsidRPr="006340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Range is restricted to essential operating conditions and any other variables essential to the work environment.</w:t>
            </w:r>
          </w:p>
          <w:p w:rsidR="00000000" w:rsidRPr="006340E6" w:rsidP="006340E6">
            <w:pPr>
              <w:pStyle w:val="BodyText"/>
            </w:pPr>
            <w:r w:rsidRPr="006340E6">
              <w:t>Non-essential conditions may be found in the Companion Volume Implementation Guide.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9" w:name="O_955066"/>
      <w:bookmarkEnd w:id="9"/>
      <w:r w:rsidRPr="006340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40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0E6" w:rsidP="006340E6">
            <w:pPr>
              <w:pStyle w:val="BodyText"/>
            </w:pPr>
            <w:r w:rsidRPr="006340E6">
              <w:t>This is a new unit.</w:t>
            </w:r>
          </w:p>
        </w:tc>
      </w:tr>
    </w:tbl>
    <w:p w:rsidR="00000000" w:rsidRPr="006340E6" w:rsidP="006340E6">
      <w:pPr>
        <w:pStyle w:val="NoPaddingFontSize1"/>
      </w:pPr>
    </w:p>
    <w:p w:rsidR="00000000" w:rsidRPr="006340E6" w:rsidP="006340E6">
      <w:pPr>
        <w:pStyle w:val="AllowPageBreak"/>
      </w:pPr>
    </w:p>
    <w:p w:rsidR="00000000" w:rsidRPr="006340E6" w:rsidP="006340E6">
      <w:pPr>
        <w:pStyle w:val="Heading1"/>
      </w:pPr>
      <w:bookmarkStart w:id="10" w:name="O_955059"/>
      <w:bookmarkEnd w:id="10"/>
      <w:r w:rsidRPr="006340E6">
        <w:t>Links</w:t>
      </w:r>
    </w:p>
    <w:p w:rsidR="00000000" w:rsidRPr="006340E6" w:rsidP="00FA0D99">
      <w:pPr>
        <w:pStyle w:val="BodyText"/>
      </w:pPr>
      <w:r w:rsidRPr="006340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3D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40E6" w:rsidP="006340E6"/>
    <w:sectPr w:rsidSect="006340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6" w:rsidRPr="00FA0D99" w:rsidP="00FA0D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99" w:rsidP="006340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D99" w:rsidP="006340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A0D99" w:rsidP="006340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0E6" w:rsidRPr="00FA0D99" w:rsidP="00FA0D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0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D99" w:rsidRPr="002D2AF8" w:rsidP="006340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TLIF0007 Manage a fatigue risk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A0D99" w:rsidP="006340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0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0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0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0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0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0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0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0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0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0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0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0E6"/>
  </w:style>
  <w:style w:type="character" w:customStyle="1" w:styleId="Heading1Char">
    <w:name w:val="Heading 1 Char"/>
    <w:basedOn w:val="DefaultParagraphFont"/>
    <w:link w:val="Heading1"/>
    <w:rsid w:val="006340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40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0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340E6"/>
    <w:rPr>
      <w:b/>
      <w:spacing w:val="0"/>
    </w:rPr>
  </w:style>
  <w:style w:type="paragraph" w:customStyle="1" w:styleId="SuperHeading">
    <w:name w:val="SuperHeading"/>
    <w:basedOn w:val="Normal"/>
    <w:rsid w:val="006340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40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40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0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0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0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0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0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0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0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0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0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0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0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0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0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0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0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40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40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0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40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0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0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0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0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0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0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0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0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0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0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0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0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0E6"/>
    <w:rPr>
      <w:i/>
    </w:rPr>
  </w:style>
  <w:style w:type="paragraph" w:styleId="Caption">
    <w:name w:val="caption"/>
    <w:basedOn w:val="BodyText"/>
    <w:next w:val="Normal"/>
    <w:qFormat/>
    <w:rsid w:val="006340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0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0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0E6"/>
  </w:style>
  <w:style w:type="paragraph" w:styleId="TableofFigures">
    <w:name w:val="table of figures"/>
    <w:basedOn w:val="Normal"/>
    <w:next w:val="Normal"/>
    <w:semiHidden/>
    <w:rsid w:val="006340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0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0E6"/>
    <w:rPr>
      <w:rFonts w:ascii="Wingdings" w:hAnsi="Wingdings"/>
    </w:rPr>
  </w:style>
  <w:style w:type="paragraph" w:customStyle="1" w:styleId="TableHeading">
    <w:name w:val="Table Heading"/>
    <w:basedOn w:val="HeadingBase"/>
    <w:rsid w:val="006340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40E6"/>
    <w:rPr>
      <w:color w:val="0033CC"/>
      <w:u w:val="none"/>
    </w:rPr>
  </w:style>
  <w:style w:type="paragraph" w:customStyle="1" w:styleId="BodyTextRight">
    <w:name w:val="Body Text Right"/>
    <w:basedOn w:val="BodyText"/>
    <w:rsid w:val="006340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0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0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0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0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0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0E6"/>
    <w:rPr>
      <w:sz w:val="32"/>
    </w:rPr>
  </w:style>
  <w:style w:type="paragraph" w:customStyle="1" w:styleId="HeadingProcedure">
    <w:name w:val="Heading Procedure"/>
    <w:basedOn w:val="HeadingBase"/>
    <w:next w:val="Normal"/>
    <w:rsid w:val="006340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0E6"/>
    <w:pPr>
      <w:spacing w:before="60" w:after="60"/>
    </w:pPr>
  </w:style>
  <w:style w:type="paragraph" w:styleId="ListContinue">
    <w:name w:val="List Continue"/>
    <w:basedOn w:val="List"/>
    <w:rsid w:val="006340E6"/>
    <w:pPr>
      <w:ind w:firstLine="0"/>
    </w:pPr>
  </w:style>
  <w:style w:type="paragraph" w:customStyle="1" w:styleId="ListNote">
    <w:name w:val="List Note"/>
    <w:basedOn w:val="List"/>
    <w:rsid w:val="006340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0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0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0E6"/>
    <w:rPr>
      <w:rFonts w:ascii="Courier New" w:hAnsi="Courier New"/>
    </w:rPr>
  </w:style>
  <w:style w:type="paragraph" w:customStyle="1" w:styleId="NoteBullet">
    <w:name w:val="Note Bullet"/>
    <w:basedOn w:val="Note"/>
    <w:rsid w:val="006340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0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0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0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0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0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0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0E6"/>
    <w:rPr>
      <w:b/>
      <w:smallCaps/>
    </w:rPr>
  </w:style>
  <w:style w:type="paragraph" w:customStyle="1" w:styleId="TableListNumber">
    <w:name w:val="Table List Number"/>
    <w:basedOn w:val="ListNumber"/>
    <w:rsid w:val="006340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0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0E6"/>
    <w:pPr>
      <w:numPr>
        <w:numId w:val="7"/>
      </w:numPr>
    </w:pPr>
  </w:style>
  <w:style w:type="paragraph" w:customStyle="1" w:styleId="ListAlpha2">
    <w:name w:val="List Alpha 2"/>
    <w:basedOn w:val="List2"/>
    <w:rsid w:val="006340E6"/>
    <w:pPr>
      <w:numPr>
        <w:numId w:val="6"/>
      </w:numPr>
    </w:pPr>
  </w:style>
  <w:style w:type="paragraph" w:styleId="List2">
    <w:name w:val="List 2"/>
    <w:basedOn w:val="BodyText"/>
    <w:rsid w:val="006340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0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0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0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0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0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0E6"/>
    <w:pPr>
      <w:numPr>
        <w:numId w:val="2"/>
      </w:numPr>
    </w:pPr>
  </w:style>
  <w:style w:type="paragraph" w:styleId="ListContinue2">
    <w:name w:val="List Continue 2"/>
    <w:basedOn w:val="List2"/>
    <w:rsid w:val="006340E6"/>
    <w:pPr>
      <w:ind w:firstLine="0"/>
    </w:pPr>
  </w:style>
  <w:style w:type="paragraph" w:styleId="ListContinue3">
    <w:name w:val="List Continue 3"/>
    <w:basedOn w:val="List3"/>
    <w:rsid w:val="006340E6"/>
    <w:pPr>
      <w:ind w:left="1021" w:firstLine="0"/>
    </w:pPr>
  </w:style>
  <w:style w:type="paragraph" w:styleId="ListContinue4">
    <w:name w:val="List Continue 4"/>
    <w:basedOn w:val="List4"/>
    <w:rsid w:val="006340E6"/>
    <w:pPr>
      <w:ind w:firstLine="0"/>
    </w:pPr>
  </w:style>
  <w:style w:type="paragraph" w:styleId="ListContinue5">
    <w:name w:val="List Continue 5"/>
    <w:basedOn w:val="List5"/>
    <w:rsid w:val="006340E6"/>
    <w:pPr>
      <w:ind w:firstLine="0"/>
    </w:pPr>
  </w:style>
  <w:style w:type="paragraph" w:styleId="ListNumber3">
    <w:name w:val="List Number 3"/>
    <w:basedOn w:val="List3"/>
    <w:rsid w:val="006340E6"/>
    <w:pPr>
      <w:numPr>
        <w:numId w:val="3"/>
      </w:numPr>
    </w:pPr>
  </w:style>
  <w:style w:type="paragraph" w:styleId="ListNumber4">
    <w:name w:val="List Number 4"/>
    <w:basedOn w:val="List4"/>
    <w:rsid w:val="006340E6"/>
    <w:pPr>
      <w:numPr>
        <w:numId w:val="4"/>
      </w:numPr>
    </w:pPr>
  </w:style>
  <w:style w:type="paragraph" w:styleId="ListNumber5">
    <w:name w:val="List Number 5"/>
    <w:basedOn w:val="List5"/>
    <w:rsid w:val="006340E6"/>
    <w:pPr>
      <w:numPr>
        <w:numId w:val="5"/>
      </w:numPr>
    </w:pPr>
  </w:style>
  <w:style w:type="paragraph" w:styleId="BlockText">
    <w:name w:val="Block Text"/>
    <w:basedOn w:val="Normal"/>
    <w:rsid w:val="006340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0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0E6"/>
    <w:rPr>
      <w:sz w:val="16"/>
      <w:vertAlign w:val="superscript"/>
    </w:rPr>
  </w:style>
  <w:style w:type="character" w:customStyle="1" w:styleId="Symbols">
    <w:name w:val="Symbols"/>
    <w:basedOn w:val="DefaultParagraphFont"/>
    <w:rsid w:val="006340E6"/>
    <w:rPr>
      <w:rFonts w:ascii="Symbol" w:hAnsi="Symbol"/>
    </w:rPr>
  </w:style>
  <w:style w:type="character" w:customStyle="1" w:styleId="MenuOptions">
    <w:name w:val="Menu Options"/>
    <w:basedOn w:val="DefaultParagraphFont"/>
    <w:rsid w:val="006340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0E6"/>
    <w:rPr>
      <w:b/>
    </w:rPr>
  </w:style>
  <w:style w:type="character" w:customStyle="1" w:styleId="Underlined">
    <w:name w:val="Underlined"/>
    <w:basedOn w:val="DefaultParagraphFont"/>
    <w:rsid w:val="006340E6"/>
    <w:rPr>
      <w:u w:val="single"/>
    </w:rPr>
  </w:style>
  <w:style w:type="paragraph" w:customStyle="1" w:styleId="TableBodyTextRight">
    <w:name w:val="Table Body Text Right"/>
    <w:basedOn w:val="TableBodyText"/>
    <w:rsid w:val="006340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0E6"/>
    <w:rPr>
      <w:sz w:val="18"/>
    </w:rPr>
  </w:style>
  <w:style w:type="paragraph" w:customStyle="1" w:styleId="BodySmallRight">
    <w:name w:val="Body Small Right"/>
    <w:basedOn w:val="BodyTextRight"/>
    <w:rsid w:val="006340E6"/>
    <w:rPr>
      <w:sz w:val="18"/>
      <w:szCs w:val="18"/>
    </w:rPr>
  </w:style>
  <w:style w:type="paragraph" w:customStyle="1" w:styleId="MarginEdition">
    <w:name w:val="Margin Edition"/>
    <w:basedOn w:val="MarginNote"/>
    <w:rsid w:val="006340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0E6"/>
    <w:rPr>
      <w:sz w:val="2"/>
      <w:szCs w:val="2"/>
    </w:rPr>
  </w:style>
  <w:style w:type="character" w:customStyle="1" w:styleId="Small">
    <w:name w:val="Small"/>
    <w:basedOn w:val="DefaultParagraphFont"/>
    <w:rsid w:val="006340E6"/>
    <w:rPr>
      <w:sz w:val="16"/>
    </w:rPr>
  </w:style>
  <w:style w:type="paragraph" w:customStyle="1" w:styleId="WideTable">
    <w:name w:val="Wide Table"/>
    <w:basedOn w:val="Normal"/>
    <w:rsid w:val="006340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0E6"/>
  </w:style>
  <w:style w:type="paragraph" w:styleId="Quote">
    <w:name w:val="Quote"/>
    <w:basedOn w:val="Heading1"/>
    <w:link w:val="QuoteChar"/>
    <w:qFormat/>
    <w:rsid w:val="006340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0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0E6"/>
    <w:pPr>
      <w:pageBreakBefore/>
    </w:pPr>
  </w:style>
  <w:style w:type="paragraph" w:customStyle="1" w:styleId="Border">
    <w:name w:val="Border"/>
    <w:basedOn w:val="Normal"/>
    <w:qFormat/>
    <w:rsid w:val="006340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0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0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0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0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0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0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0E6"/>
    <w:rPr>
      <w:u w:val="single"/>
    </w:rPr>
  </w:style>
  <w:style w:type="character" w:customStyle="1" w:styleId="BoldandItalics">
    <w:name w:val="Bold and Italics"/>
    <w:qFormat/>
    <w:rsid w:val="006340E6"/>
    <w:rPr>
      <w:b/>
      <w:i/>
      <w:u w:val="none"/>
    </w:rPr>
  </w:style>
  <w:style w:type="paragraph" w:styleId="BalloonText">
    <w:name w:val="Balloon Text"/>
    <w:basedOn w:val="Normal"/>
    <w:link w:val="BalloonTextChar"/>
    <w:rsid w:val="00634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0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0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0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0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0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0E6"/>
    <w:pPr>
      <w:spacing w:before="0" w:after="0"/>
    </w:pPr>
  </w:style>
  <w:style w:type="paragraph" w:customStyle="1" w:styleId="BodyTextBold">
    <w:name w:val="Body Text Bold"/>
    <w:basedOn w:val="BodyText"/>
    <w:qFormat/>
    <w:rsid w:val="006340E6"/>
    <w:rPr>
      <w:b/>
    </w:rPr>
  </w:style>
  <w:style w:type="character" w:styleId="Hyperlink">
    <w:name w:val="Hyperlink"/>
    <w:basedOn w:val="DefaultParagraphFont"/>
    <w:uiPriority w:val="99"/>
    <w:unhideWhenUsed/>
    <w:rsid w:val="00FA0D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1242</Words>
  <Characters>7669</Characters>
  <Application>Microsoft Office Word</Application>
  <DocSecurity>0</DocSecurity>
  <Lines>333</Lines>
  <Paragraphs>146</Paragraphs>
  <ScaleCrop>false</ScaleCrop>
  <Company>Author-it Software Corporation Ltd.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TLIF0007 Manage a fatigue risk management system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