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1C37" w:rsidP="00761C37">
      <w:pPr>
        <w:pStyle w:val="Title"/>
      </w:pPr>
      <w:r>
        <w:fldChar w:fldCharType="begin"/>
      </w:r>
      <w:r>
        <w:instrText xml:space="preserve"> TITLE   \* MERGEFORMAT </w:instrText>
      </w:r>
      <w:r>
        <w:fldChar w:fldCharType="separate"/>
      </w:r>
      <w:r>
        <w:t>Assessment Requirements for TLIF0006 Administer a fatigue risk management system</w:t>
      </w:r>
      <w:r>
        <w:fldChar w:fldCharType="end"/>
      </w:r>
    </w:p>
    <w:p w:rsidR="00761C37" w:rsidP="00761C37">
      <w:pPr>
        <w:pStyle w:val="Version"/>
        <w:sectPr w:rsidSect="008D0D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0DF7" w:rsidP="008D0DF7">
      <w:pPr>
        <w:pStyle w:val="SuperHeading"/>
      </w:pPr>
      <w:r w:rsidRPr="008D0DF7">
        <w:t>Assessment Requirements for TLIF0006 Administer a fatigue risk management system</w:t>
      </w:r>
    </w:p>
    <w:p w:rsidR="00000000" w:rsidRPr="008D0DF7" w:rsidP="008D0DF7">
      <w:pPr>
        <w:pStyle w:val="Heading1"/>
      </w:pPr>
      <w:bookmarkStart w:id="1" w:name="O_955042"/>
      <w:bookmarkEnd w:id="1"/>
      <w:r w:rsidRPr="008D0DF7">
        <w:t>Modification History</w:t>
      </w:r>
    </w:p>
    <w:tbl>
      <w:tblPr>
        <w:tblW w:w="9497" w:type="dxa"/>
        <w:tblLayout w:type="fixed"/>
        <w:tblCellMar>
          <w:left w:w="62" w:type="dxa"/>
          <w:right w:w="62" w:type="dxa"/>
        </w:tblCellMar>
        <w:tblLook w:val="0000"/>
      </w:tblPr>
      <w:tblGrid>
        <w:gridCol w:w="9497"/>
      </w:tblGrid>
      <w:tr w:rsidTr="00761C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0DF7" w:rsidP="008D0DF7">
            <w:pPr>
              <w:pStyle w:val="BodyText"/>
            </w:pPr>
            <w:r w:rsidRPr="008D0DF7">
              <w:rPr>
                <w:rStyle w:val="SpecialBold"/>
              </w:rPr>
              <w:t>Release 1.</w:t>
            </w:r>
            <w:r w:rsidRPr="008D0DF7">
              <w:t xml:space="preserve"> This is the first release of this unit of competency in the TLI Transport and Logistics Training Package.</w:t>
            </w:r>
          </w:p>
        </w:tc>
      </w:tr>
    </w:tbl>
    <w:p w:rsidR="00000000" w:rsidRPr="008D0DF7" w:rsidP="008D0DF7">
      <w:pPr>
        <w:pStyle w:val="NoPaddingFontSize1"/>
      </w:pPr>
    </w:p>
    <w:p w:rsidR="00000000" w:rsidRPr="008D0DF7" w:rsidP="008D0DF7">
      <w:pPr>
        <w:pStyle w:val="AllowPageBreak"/>
      </w:pPr>
    </w:p>
    <w:p w:rsidR="00000000" w:rsidRPr="008D0DF7" w:rsidP="008D0DF7">
      <w:pPr>
        <w:pStyle w:val="Heading1"/>
      </w:pPr>
      <w:bookmarkStart w:id="2" w:name="O_955045"/>
      <w:bookmarkEnd w:id="2"/>
      <w:r w:rsidRPr="008D0DF7">
        <w:t>Performance Evidence</w:t>
      </w:r>
    </w:p>
    <w:tbl>
      <w:tblPr>
        <w:tblW w:w="9497" w:type="dxa"/>
        <w:tblLayout w:type="fixed"/>
        <w:tblCellMar>
          <w:left w:w="62" w:type="dxa"/>
          <w:right w:w="62" w:type="dxa"/>
        </w:tblCellMar>
        <w:tblLook w:val="0000"/>
      </w:tblPr>
      <w:tblGrid>
        <w:gridCol w:w="9497"/>
      </w:tblGrid>
      <w:tr w:rsidTr="008D0D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D0DF7">
            <w:pPr>
              <w:pStyle w:val="BodyText"/>
              <w:rPr>
                <w:lang w:val="en-NZ"/>
              </w:rPr>
            </w:pPr>
            <w:r w:rsidRPr="008D0DF7">
              <w:t xml:space="preserve">Evidence required to demonstrate competence in this unit must be relevant to and satisfy all of the requirements of the elements, performance criteria and range of conditions on at least two separate occasions and include: </w:t>
            </w:r>
          </w:p>
        </w:tc>
      </w:tr>
      <w:tr w:rsidTr="008D0D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0DF7" w:rsidP="008D0DF7">
            <w:pPr>
              <w:pStyle w:val="ListBullet"/>
            </w:pPr>
            <w:r w:rsidRPr="008D0DF7">
              <w:t xml:space="preserve">applying </w:t>
            </w:r>
            <w:r w:rsidRPr="008D0DF7">
              <w:t>a road transport fatigue risk management system</w:t>
            </w:r>
          </w:p>
          <w:p w:rsidR="00000000" w:rsidRPr="008D0DF7" w:rsidP="008D0DF7">
            <w:pPr>
              <w:pStyle w:val="ListBullet"/>
            </w:pPr>
            <w:r w:rsidRPr="008D0DF7">
              <w:t>applying fatigue risk management principles when scheduling heavy vehicle drivers:</w:t>
            </w:r>
          </w:p>
          <w:p w:rsidR="00000000" w:rsidRPr="008D0DF7" w:rsidP="008D0DF7">
            <w:pPr>
              <w:pStyle w:val="ListBullet2"/>
            </w:pPr>
            <w:r w:rsidRPr="008D0DF7">
              <w:t>allowing for reasonably foreseeable circumstances when scheduling</w:t>
            </w:r>
          </w:p>
          <w:p w:rsidR="00000000" w:rsidRPr="008D0DF7" w:rsidP="008D0DF7">
            <w:pPr>
              <w:pStyle w:val="ListBullet"/>
            </w:pPr>
            <w:r w:rsidRPr="008D0DF7">
              <w:t xml:space="preserve">applying strategies to address signs and symptoms of heavy vehicle driver fatigue </w:t>
            </w:r>
          </w:p>
          <w:p w:rsidR="00000000" w:rsidRPr="008D0DF7" w:rsidP="008D0DF7">
            <w:pPr>
              <w:pStyle w:val="ListBullet"/>
            </w:pPr>
            <w:r w:rsidRPr="008D0DF7">
              <w:t>applying work health and safety (WHS)/occupational health and safety (OHS) workplace policies and procedures</w:t>
            </w:r>
          </w:p>
          <w:p w:rsidR="00000000" w:rsidRPr="008D0DF7" w:rsidP="008D0DF7">
            <w:pPr>
              <w:pStyle w:val="ListBullet"/>
            </w:pPr>
            <w:r w:rsidRPr="008D0DF7">
              <w:t>applying workplace fatigue risk management policies and procedur</w:t>
            </w:r>
            <w:r w:rsidRPr="008D0DF7">
              <w:t>es</w:t>
            </w:r>
          </w:p>
          <w:p w:rsidR="00000000" w:rsidRPr="008D0DF7" w:rsidP="008D0DF7">
            <w:pPr>
              <w:pStyle w:val="ListBullet"/>
            </w:pPr>
            <w:r w:rsidRPr="008D0DF7">
              <w:t>communicating with relevant personnel</w:t>
            </w:r>
          </w:p>
          <w:p w:rsidR="00000000" w:rsidRPr="008D0DF7" w:rsidP="008D0DF7">
            <w:pPr>
              <w:pStyle w:val="ListBullet"/>
            </w:pPr>
            <w:r w:rsidRPr="008D0DF7">
              <w:t>communicating unplanned events and deviations to relevant personnel</w:t>
            </w:r>
          </w:p>
          <w:p w:rsidR="00000000" w:rsidRPr="008D0DF7" w:rsidP="008D0DF7">
            <w:pPr>
              <w:pStyle w:val="ListBullet"/>
            </w:pPr>
            <w:r w:rsidRPr="008D0DF7">
              <w:t>complying with relevant fatigue Heavy Vehicle National Law (HVNL) requirements</w:t>
            </w:r>
          </w:p>
          <w:p w:rsidR="00000000" w:rsidRPr="008D0DF7" w:rsidP="008D0DF7">
            <w:pPr>
              <w:pStyle w:val="ListBullet"/>
            </w:pPr>
            <w:r w:rsidRPr="008D0DF7">
              <w:t>dealing effectively with unplanned events in accordance with workpla</w:t>
            </w:r>
            <w:r w:rsidRPr="008D0DF7">
              <w:t>ce policies and procedures</w:t>
            </w:r>
          </w:p>
          <w:p w:rsidR="00000000" w:rsidRPr="008D0DF7" w:rsidP="008D0DF7">
            <w:pPr>
              <w:pStyle w:val="ListBullet"/>
            </w:pPr>
            <w:r w:rsidRPr="008D0DF7">
              <w:t>identifying and assisting heavy vehicle drivers with fatigue risk management implementation and issues identified</w:t>
            </w:r>
          </w:p>
          <w:p w:rsidR="00000000" w:rsidRPr="008D0DF7" w:rsidP="008D0DF7">
            <w:pPr>
              <w:pStyle w:val="ListBullet"/>
            </w:pPr>
            <w:r w:rsidRPr="008D0DF7">
              <w:t xml:space="preserve">identifying fatigue risk factors for heavy vehicle drivers   </w:t>
            </w:r>
          </w:p>
          <w:p w:rsidR="00000000" w:rsidRPr="008D0DF7" w:rsidP="008D0DF7">
            <w:pPr>
              <w:pStyle w:val="ListBullet"/>
            </w:pPr>
            <w:r w:rsidRPr="008D0DF7">
              <w:t>implementing compliance with trip, work and rest requ</w:t>
            </w:r>
            <w:r w:rsidRPr="008D0DF7">
              <w:t>irements</w:t>
            </w:r>
          </w:p>
          <w:p w:rsidR="00000000" w:rsidRPr="008D0DF7" w:rsidP="008D0DF7">
            <w:pPr>
              <w:pStyle w:val="ListBullet"/>
            </w:pPr>
            <w:r w:rsidRPr="008D0DF7">
              <w:t>implementing risk mitigation control measures</w:t>
            </w:r>
          </w:p>
          <w:p w:rsidR="00000000" w:rsidRPr="008D0DF7" w:rsidP="008D0DF7">
            <w:pPr>
              <w:pStyle w:val="ListBullet"/>
            </w:pPr>
            <w:r w:rsidRPr="008D0DF7">
              <w:t>interpreting fatigue risk management principles</w:t>
            </w:r>
          </w:p>
          <w:p w:rsidR="00000000" w:rsidRPr="008D0DF7" w:rsidP="008D0DF7">
            <w:pPr>
              <w:pStyle w:val="ListBullet"/>
            </w:pPr>
            <w:r w:rsidRPr="008D0DF7">
              <w:t>monitoring and maintaining work diaries/records and all relevant workplace documentation in accordance with workplace procedures</w:t>
            </w:r>
          </w:p>
          <w:p w:rsidR="00000000" w:rsidRPr="008D0DF7" w:rsidP="008D0DF7">
            <w:pPr>
              <w:pStyle w:val="ListBullet"/>
            </w:pPr>
            <w:r w:rsidRPr="008D0DF7">
              <w:t>monitoring heavy vehicle driver signs and symptoms of fatigue</w:t>
            </w:r>
          </w:p>
          <w:p w:rsidR="00000000" w:rsidRPr="008D0DF7" w:rsidP="008D0DF7">
            <w:pPr>
              <w:pStyle w:val="ListBullet"/>
            </w:pPr>
            <w:r w:rsidRPr="008D0DF7">
              <w:t xml:space="preserve">participating in internal reviews and periodic audits </w:t>
            </w:r>
          </w:p>
          <w:p w:rsidR="00000000" w:rsidRPr="008D0DF7" w:rsidP="008D0DF7">
            <w:pPr>
              <w:pStyle w:val="ListBullet"/>
            </w:pPr>
            <w:r w:rsidRPr="008D0DF7">
              <w:t xml:space="preserve">planning and monitoring heavy vehicle trips </w:t>
            </w:r>
          </w:p>
          <w:p w:rsidR="00000000" w:rsidRPr="008D0DF7" w:rsidP="008D0DF7">
            <w:pPr>
              <w:pStyle w:val="ListBullet"/>
            </w:pPr>
            <w:r w:rsidRPr="008D0DF7">
              <w:t>preparing and actioning non-compliance reports</w:t>
            </w:r>
          </w:p>
          <w:p w:rsidR="00000000" w:rsidRPr="008D0DF7" w:rsidP="008D0DF7">
            <w:pPr>
              <w:pStyle w:val="ListBullet"/>
            </w:pPr>
            <w:r w:rsidRPr="008D0DF7">
              <w:t>providing feedback to inform heavy vehicle driv</w:t>
            </w:r>
            <w:r w:rsidRPr="008D0DF7">
              <w:t>ers about compliance when implementing the fatigue risk management system</w:t>
            </w:r>
          </w:p>
          <w:p w:rsidR="00000000" w:rsidRPr="008D0DF7" w:rsidP="008D0DF7">
            <w:pPr>
              <w:pStyle w:val="ListBullet"/>
            </w:pPr>
            <w:r w:rsidRPr="008D0DF7">
              <w:t>reading and interpreting relevant documentation on fatigue risk management regulations</w:t>
            </w:r>
          </w:p>
          <w:p w:rsidR="00000000" w:rsidRPr="008D0DF7" w:rsidP="008D0DF7">
            <w:pPr>
              <w:pStyle w:val="ListBullet"/>
            </w:pPr>
            <w:r w:rsidRPr="008D0DF7">
              <w:t xml:space="preserve">recognising non-compliance with fatigue risk management strategies and regulations, and </w:t>
            </w:r>
            <w:r w:rsidRPr="008D0DF7">
              <w:t xml:space="preserve">taking </w:t>
            </w:r>
            <w:r w:rsidRPr="008D0DF7">
              <w:t>appropriate action.</w:t>
            </w:r>
          </w:p>
        </w:tc>
      </w:tr>
    </w:tbl>
    <w:p w:rsidR="00000000" w:rsidRPr="008D0DF7" w:rsidP="008D0DF7">
      <w:pPr>
        <w:pStyle w:val="NoPaddingFontSize1"/>
      </w:pPr>
    </w:p>
    <w:p w:rsidR="00000000" w:rsidRPr="008D0DF7" w:rsidP="008D0DF7">
      <w:pPr>
        <w:pStyle w:val="AllowPageBreak"/>
      </w:pPr>
    </w:p>
    <w:p w:rsidR="00000000" w:rsidRPr="008D0DF7" w:rsidP="008D0DF7">
      <w:pPr>
        <w:pStyle w:val="Heading1"/>
      </w:pPr>
      <w:bookmarkStart w:id="3" w:name="O_955044"/>
      <w:bookmarkEnd w:id="3"/>
      <w:r w:rsidRPr="008D0DF7">
        <w:t>Knowledge Evidence</w:t>
      </w:r>
    </w:p>
    <w:tbl>
      <w:tblPr>
        <w:tblW w:w="9497" w:type="dxa"/>
        <w:tblLayout w:type="fixed"/>
        <w:tblCellMar>
          <w:left w:w="62" w:type="dxa"/>
          <w:right w:w="62" w:type="dxa"/>
        </w:tblCellMar>
        <w:tblLook w:val="0000"/>
      </w:tblPr>
      <w:tblGrid>
        <w:gridCol w:w="9497"/>
      </w:tblGrid>
      <w:tr w:rsidTr="008D0D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D0DF7">
            <w:pPr>
              <w:pStyle w:val="BodyText"/>
              <w:rPr>
                <w:lang w:val="en-NZ"/>
              </w:rPr>
            </w:pPr>
            <w:r w:rsidRPr="008D0DF7">
              <w:t xml:space="preserve">Evidence required to demonstrate competence in this unit must be relevant to and satisfy all of the requirements of the elements and performance criteria and include knowledge of: </w:t>
            </w:r>
          </w:p>
        </w:tc>
      </w:tr>
      <w:tr w:rsidTr="008D0D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0DF7" w:rsidP="008D0DF7">
            <w:pPr>
              <w:pStyle w:val="ListBullet"/>
            </w:pPr>
            <w:r w:rsidRPr="008D0DF7">
              <w:t>chain of respon</w:t>
            </w:r>
            <w:r w:rsidRPr="008D0DF7">
              <w:t>sibility</w:t>
            </w:r>
          </w:p>
          <w:p w:rsidR="00000000" w:rsidRPr="008D0DF7" w:rsidP="008D0DF7">
            <w:pPr>
              <w:pStyle w:val="ListBullet"/>
            </w:pPr>
            <w:r w:rsidRPr="008D0DF7">
              <w:t xml:space="preserve">consequences of non-compliance and failure to manage fatigue within the chain of responsibility </w:t>
            </w:r>
          </w:p>
          <w:p w:rsidR="00000000" w:rsidRPr="008D0DF7" w:rsidP="008D0DF7">
            <w:pPr>
              <w:pStyle w:val="ListBullet"/>
            </w:pPr>
            <w:r w:rsidRPr="008D0DF7">
              <w:t>fatigue risk management hierarchy of risk control</w:t>
            </w:r>
          </w:p>
          <w:p w:rsidR="00000000" w:rsidRPr="008D0DF7" w:rsidP="008D0DF7">
            <w:pPr>
              <w:pStyle w:val="ListBullet"/>
            </w:pPr>
            <w:r w:rsidRPr="008D0DF7">
              <w:t>fatigue risk management key performance indicators including:</w:t>
            </w:r>
          </w:p>
          <w:p w:rsidR="00000000" w:rsidRPr="008D0DF7" w:rsidP="008D0DF7">
            <w:pPr>
              <w:pStyle w:val="ListBullet2"/>
            </w:pPr>
            <w:r w:rsidRPr="008D0DF7">
              <w:t>corrective action monitoring</w:t>
            </w:r>
          </w:p>
          <w:p w:rsidR="00000000" w:rsidRPr="008D0DF7" w:rsidP="008D0DF7">
            <w:pPr>
              <w:pStyle w:val="ListBullet2"/>
            </w:pPr>
            <w:r w:rsidRPr="008D0DF7">
              <w:t>trend analysis</w:t>
            </w:r>
          </w:p>
          <w:p w:rsidR="00000000" w:rsidRPr="008D0DF7" w:rsidP="008D0DF7">
            <w:pPr>
              <w:pStyle w:val="ListBullet"/>
            </w:pPr>
            <w:r w:rsidRPr="008D0DF7">
              <w:t>fatigue risk management principles</w:t>
            </w:r>
          </w:p>
          <w:p w:rsidR="00000000" w:rsidRPr="008D0DF7" w:rsidP="008D0DF7">
            <w:pPr>
              <w:pStyle w:val="ListBullet"/>
            </w:pPr>
            <w:r w:rsidRPr="008D0DF7">
              <w:t>fatigue risk management signs, symptoms and strategies</w:t>
            </w:r>
          </w:p>
          <w:p w:rsidR="00000000" w:rsidRPr="008D0DF7" w:rsidP="008D0DF7">
            <w:pPr>
              <w:pStyle w:val="ListBullet"/>
            </w:pPr>
            <w:r w:rsidRPr="008D0DF7">
              <w:t>heavy vehicle fatigue risk management workplace policies and procedures</w:t>
            </w:r>
          </w:p>
          <w:p w:rsidR="00000000" w:rsidRPr="008D0DF7" w:rsidP="008D0DF7">
            <w:pPr>
              <w:pStyle w:val="ListBullet"/>
            </w:pPr>
            <w:r w:rsidRPr="008D0DF7">
              <w:t>management of a fatigue risk management system including:</w:t>
            </w:r>
          </w:p>
          <w:p w:rsidR="00000000" w:rsidRPr="008D0DF7" w:rsidP="008D0DF7">
            <w:pPr>
              <w:pStyle w:val="ListBullet2"/>
            </w:pPr>
            <w:r w:rsidRPr="008D0DF7">
              <w:t>implementing a fati</w:t>
            </w:r>
            <w:r w:rsidRPr="008D0DF7">
              <w:t>gue risk management system</w:t>
            </w:r>
          </w:p>
          <w:p w:rsidR="00000000" w:rsidRPr="008D0DF7" w:rsidP="008D0DF7">
            <w:pPr>
              <w:pStyle w:val="ListBullet2"/>
            </w:pPr>
            <w:r w:rsidRPr="008D0DF7">
              <w:t>monitoring a fatigue risk management system</w:t>
            </w:r>
          </w:p>
          <w:p w:rsidR="00000000" w:rsidRPr="008D0DF7" w:rsidP="008D0DF7">
            <w:pPr>
              <w:pStyle w:val="ListBullet2"/>
            </w:pPr>
            <w:r w:rsidRPr="008D0DF7">
              <w:t>planning implementation of a fatigue risk management system</w:t>
            </w:r>
          </w:p>
          <w:p w:rsidR="00000000" w:rsidRPr="008D0DF7" w:rsidP="008D0DF7">
            <w:pPr>
              <w:pStyle w:val="ListBullet2"/>
            </w:pPr>
            <w:r w:rsidRPr="008D0DF7">
              <w:t>reviewing a fatigue risk management system</w:t>
            </w:r>
          </w:p>
          <w:p w:rsidR="00000000" w:rsidRPr="008D0DF7" w:rsidP="008D0DF7">
            <w:pPr>
              <w:pStyle w:val="ListBullet"/>
            </w:pPr>
            <w:r w:rsidRPr="008D0DF7">
              <w:t>non-compliance and penalties related to relevant driver fatigue legislation</w:t>
            </w:r>
          </w:p>
          <w:p w:rsidR="00000000" w:rsidRPr="008D0DF7" w:rsidP="008D0DF7">
            <w:pPr>
              <w:pStyle w:val="ListBullet"/>
            </w:pPr>
            <w:r w:rsidRPr="008D0DF7">
              <w:t>parties in the chain of responsibility, including:</w:t>
            </w:r>
          </w:p>
          <w:p w:rsidR="00000000" w:rsidRPr="008D0DF7" w:rsidP="008D0DF7">
            <w:pPr>
              <w:pStyle w:val="ListBullet2"/>
            </w:pPr>
            <w:r w:rsidRPr="008D0DF7">
              <w:t>consignors/consignees</w:t>
            </w:r>
          </w:p>
          <w:p w:rsidR="00000000" w:rsidRPr="008D0DF7" w:rsidP="008D0DF7">
            <w:pPr>
              <w:pStyle w:val="ListBullet2"/>
            </w:pPr>
            <w:r w:rsidRPr="008D0DF7">
              <w:t>drivers and owner drivers</w:t>
            </w:r>
          </w:p>
          <w:p w:rsidR="00000000" w:rsidRPr="008D0DF7" w:rsidP="008D0DF7">
            <w:pPr>
              <w:pStyle w:val="ListBullet2"/>
            </w:pPr>
            <w:r w:rsidRPr="008D0DF7">
              <w:t>employers, prime contractors and operators</w:t>
            </w:r>
          </w:p>
          <w:p w:rsidR="00000000" w:rsidRPr="008D0DF7" w:rsidP="008D0DF7">
            <w:pPr>
              <w:pStyle w:val="ListBullet2"/>
            </w:pPr>
            <w:r w:rsidRPr="008D0DF7">
              <w:t>loaders</w:t>
            </w:r>
          </w:p>
          <w:p w:rsidR="00000000" w:rsidRPr="008D0DF7" w:rsidP="008D0DF7">
            <w:pPr>
              <w:pStyle w:val="ListBullet2"/>
            </w:pPr>
            <w:r w:rsidRPr="008D0DF7">
              <w:t>loading managers</w:t>
            </w:r>
          </w:p>
          <w:p w:rsidR="00000000" w:rsidRPr="008D0DF7" w:rsidP="008D0DF7">
            <w:pPr>
              <w:pStyle w:val="ListBullet2"/>
            </w:pPr>
            <w:r w:rsidRPr="008D0DF7">
              <w:t>packers</w:t>
            </w:r>
          </w:p>
          <w:p w:rsidR="00000000" w:rsidRPr="008D0DF7" w:rsidP="008D0DF7">
            <w:pPr>
              <w:pStyle w:val="ListBullet2"/>
            </w:pPr>
            <w:r w:rsidRPr="008D0DF7">
              <w:t>schedulers</w:t>
            </w:r>
          </w:p>
          <w:p w:rsidR="00000000" w:rsidRPr="008D0DF7" w:rsidP="008D0DF7">
            <w:pPr>
              <w:pStyle w:val="ListBullet"/>
            </w:pPr>
            <w:r w:rsidRPr="008D0DF7">
              <w:t>periodic audit requirements</w:t>
            </w:r>
          </w:p>
          <w:p w:rsidR="00000000" w:rsidRPr="008D0DF7" w:rsidP="008D0DF7">
            <w:pPr>
              <w:pStyle w:val="ListBullet"/>
            </w:pPr>
            <w:r w:rsidRPr="008D0DF7">
              <w:t>principal obligations relating to fatigu</w:t>
            </w:r>
            <w:r w:rsidRPr="008D0DF7">
              <w:t>e risk management in HVNL including:</w:t>
            </w:r>
          </w:p>
          <w:p w:rsidR="00000000" w:rsidRPr="008D0DF7" w:rsidP="008D0DF7">
            <w:pPr>
              <w:pStyle w:val="ListBullet2"/>
            </w:pPr>
            <w:r w:rsidRPr="008D0DF7">
              <w:t>consideration of traffic conditions in managing speed and fatigue</w:t>
            </w:r>
          </w:p>
          <w:p w:rsidR="00000000" w:rsidRPr="008D0DF7" w:rsidP="008D0DF7">
            <w:pPr>
              <w:pStyle w:val="ListBullet2"/>
            </w:pPr>
            <w:r w:rsidRPr="008D0DF7">
              <w:t>fatigue, work, and rest times</w:t>
            </w:r>
          </w:p>
          <w:p w:rsidR="00000000" w:rsidRPr="008D0DF7" w:rsidP="008D0DF7">
            <w:pPr>
              <w:pStyle w:val="ListBullet2"/>
            </w:pPr>
            <w:r w:rsidRPr="008D0DF7">
              <w:t>securing loads</w:t>
            </w:r>
          </w:p>
          <w:p w:rsidR="00000000" w:rsidRPr="008D0DF7" w:rsidP="008D0DF7">
            <w:pPr>
              <w:pStyle w:val="ListBullet2"/>
            </w:pPr>
            <w:r w:rsidRPr="008D0DF7">
              <w:t>trip conditions including vehicle dimension and load limits</w:t>
            </w:r>
          </w:p>
          <w:p w:rsidR="00000000" w:rsidRPr="008D0DF7" w:rsidP="008D0DF7">
            <w:pPr>
              <w:pStyle w:val="ListBullet"/>
            </w:pPr>
            <w:r w:rsidRPr="008D0DF7">
              <w:t xml:space="preserve">processes and resources for assessing heavy vehicle driver fatigue risk management competence </w:t>
            </w:r>
          </w:p>
          <w:p w:rsidR="00000000" w:rsidRPr="008D0DF7" w:rsidP="008D0DF7">
            <w:pPr>
              <w:pStyle w:val="ListBullet"/>
            </w:pPr>
            <w:r w:rsidRPr="008D0DF7">
              <w:t>program for assisting drivers to assess their level of fatigue and evaluate their own fitness for work, inclusive of sleep disorders</w:t>
            </w:r>
          </w:p>
          <w:p w:rsidR="00000000" w:rsidRPr="008D0DF7" w:rsidP="008D0DF7">
            <w:pPr>
              <w:pStyle w:val="ListBullet"/>
            </w:pPr>
            <w:r w:rsidRPr="008D0DF7">
              <w:t>record keeping responsibilit</w:t>
            </w:r>
            <w:r w:rsidRPr="008D0DF7">
              <w:t>ies and compliance obligations</w:t>
            </w:r>
          </w:p>
          <w:p w:rsidR="00000000" w:rsidRPr="008D0DF7" w:rsidP="008D0DF7">
            <w:pPr>
              <w:pStyle w:val="ListBullet"/>
            </w:pPr>
            <w:r w:rsidRPr="008D0DF7">
              <w:t>relevant fatigue risk management training programs and support resources</w:t>
            </w:r>
          </w:p>
          <w:p w:rsidR="00000000" w:rsidRPr="008D0DF7" w:rsidP="008D0DF7">
            <w:pPr>
              <w:pStyle w:val="ListBullet"/>
            </w:pPr>
            <w:r w:rsidRPr="008D0DF7">
              <w:t xml:space="preserve">relevant WHS/OHS legislation </w:t>
            </w:r>
          </w:p>
          <w:p w:rsidR="00000000" w:rsidRPr="008D0DF7" w:rsidP="008D0DF7">
            <w:pPr>
              <w:pStyle w:val="ListBullet"/>
            </w:pPr>
            <w:r w:rsidRPr="008D0DF7">
              <w:t>resources for providing training on the implementation of the workplace’s fatigue risk management system</w:t>
            </w:r>
          </w:p>
          <w:p w:rsidR="00000000" w:rsidRPr="008D0DF7" w:rsidP="008D0DF7">
            <w:pPr>
              <w:pStyle w:val="ListBullet"/>
            </w:pPr>
            <w:r w:rsidRPr="008D0DF7">
              <w:t>road transport fa</w:t>
            </w:r>
            <w:r w:rsidRPr="008D0DF7">
              <w:t>tigue risk management program</w:t>
            </w:r>
          </w:p>
          <w:p w:rsidR="00000000" w:rsidRPr="008D0DF7" w:rsidP="008D0DF7">
            <w:pPr>
              <w:pStyle w:val="ListBullet"/>
            </w:pPr>
            <w:r w:rsidRPr="008D0DF7">
              <w:t>strategies and requirements to ensure management of fatigue</w:t>
            </w:r>
          </w:p>
          <w:p w:rsidR="00000000" w:rsidRPr="008D0DF7" w:rsidP="008D0DF7">
            <w:pPr>
              <w:pStyle w:val="ListBullet"/>
            </w:pPr>
            <w:r w:rsidRPr="008D0DF7">
              <w:t>strategies required when non-compliance with fatigue HVNL is identified within the chain of responsibility</w:t>
            </w:r>
          </w:p>
          <w:p w:rsidR="00000000" w:rsidRPr="008D0DF7" w:rsidP="008D0DF7">
            <w:pPr>
              <w:pStyle w:val="ListBullet"/>
            </w:pPr>
            <w:r w:rsidRPr="008D0DF7">
              <w:t xml:space="preserve">training program for heavy vehicle drivers on fatigue risk </w:t>
            </w:r>
            <w:r w:rsidRPr="008D0DF7">
              <w:t>management.</w:t>
            </w:r>
          </w:p>
        </w:tc>
      </w:tr>
    </w:tbl>
    <w:p w:rsidR="00000000" w:rsidRPr="008D0DF7" w:rsidP="008D0DF7">
      <w:pPr>
        <w:pStyle w:val="NoPaddingFontSize1"/>
      </w:pPr>
    </w:p>
    <w:p w:rsidR="00000000" w:rsidRPr="008D0DF7" w:rsidP="008D0DF7">
      <w:pPr>
        <w:pStyle w:val="AllowPageBreak"/>
      </w:pPr>
    </w:p>
    <w:p w:rsidR="00000000" w:rsidRPr="008D0DF7" w:rsidP="008D0DF7">
      <w:pPr>
        <w:pStyle w:val="Heading1"/>
      </w:pPr>
      <w:bookmarkStart w:id="4" w:name="O_955043"/>
      <w:bookmarkEnd w:id="4"/>
      <w:r w:rsidRPr="008D0DF7">
        <w:t>Assessment Conditions</w:t>
      </w:r>
    </w:p>
    <w:tbl>
      <w:tblPr>
        <w:tblW w:w="9497" w:type="dxa"/>
        <w:tblLayout w:type="fixed"/>
        <w:tblCellMar>
          <w:left w:w="62" w:type="dxa"/>
          <w:right w:w="62" w:type="dxa"/>
        </w:tblCellMar>
        <w:tblLook w:val="0000"/>
      </w:tblPr>
      <w:tblGrid>
        <w:gridCol w:w="9497"/>
      </w:tblGrid>
      <w:tr w:rsidTr="008D0D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0DF7" w:rsidP="008D0DF7">
            <w:pPr>
              <w:pStyle w:val="BodyText"/>
            </w:pPr>
            <w:r w:rsidRPr="008D0DF7">
              <w:t>Registered Training Organisations (RTOs) are required to be approved by the National Heavy Vehicle Regulator (NHVR) to deliver and assess this unit for NHVR accreditation purposes.</w:t>
            </w:r>
          </w:p>
          <w:p w:rsidR="00000000" w:rsidRPr="008D0DF7" w:rsidP="008D0DF7">
            <w:pPr>
              <w:pStyle w:val="BodyText"/>
            </w:pPr>
            <w:r w:rsidRPr="008D0DF7">
              <w:t xml:space="preserve">As a minimum, assessors must satisfy applicable regulatory requirements, which include requirements in the </w:t>
            </w:r>
            <w:r w:rsidRPr="008D0DF7">
              <w:rPr>
                <w:rStyle w:val="Emphasis"/>
              </w:rPr>
              <w:t>Standards for Registered Training Organisations</w:t>
            </w:r>
            <w:r w:rsidRPr="008D0DF7">
              <w:t xml:space="preserve"> current at the time of assessment. </w:t>
            </w:r>
          </w:p>
          <w:p w:rsidR="00000000" w:rsidRPr="008D0DF7" w:rsidP="008D0DF7">
            <w:pPr>
              <w:pStyle w:val="BodyText"/>
            </w:pPr>
            <w:r w:rsidRPr="008D0DF7">
              <w:t>As a minimum, assessment must satisfy applicable regulatory requi</w:t>
            </w:r>
            <w:r w:rsidRPr="008D0DF7">
              <w:t xml:space="preserve">rements, which include requirements in the </w:t>
            </w:r>
            <w:r w:rsidRPr="008D0DF7">
              <w:rPr>
                <w:rStyle w:val="Emphasis"/>
              </w:rPr>
              <w:t>Standards for Registered Training Organisations</w:t>
            </w:r>
            <w:r w:rsidRPr="008D0DF7">
              <w:t xml:space="preserve"> current at the time of assessment.</w:t>
            </w:r>
          </w:p>
          <w:p w:rsidR="00000000" w:rsidRPr="008D0DF7" w:rsidP="008D0DF7">
            <w:pPr>
              <w:pStyle w:val="BodyText"/>
            </w:pPr>
            <w:r w:rsidRPr="008D0DF7">
              <w:t>Assessment processes and techniques must be appropriate to the language, literacy and numeracy requirements of the work being perf</w:t>
            </w:r>
            <w:r w:rsidRPr="008D0DF7">
              <w:t>ormed and the needs of the candidate.</w:t>
            </w:r>
          </w:p>
          <w:p w:rsidR="00000000" w:rsidRPr="008D0DF7" w:rsidP="008D0DF7">
            <w:pPr>
              <w:pStyle w:val="BodyText"/>
            </w:pPr>
            <w:r w:rsidRPr="008D0DF7">
              <w:t>Assessment must occur in workplace operational situations. Where this is not appropriate, assessment must occur in simulated workplace operational situations that reflect workplace conditions.</w:t>
            </w:r>
          </w:p>
          <w:p w:rsidR="00000000" w:rsidRPr="008D0DF7" w:rsidP="008D0DF7">
            <w:pPr>
              <w:pStyle w:val="BodyText"/>
            </w:pPr>
            <w:r w:rsidRPr="008D0DF7">
              <w:t xml:space="preserve">Resources for assessment </w:t>
            </w:r>
            <w:r w:rsidRPr="008D0DF7">
              <w:t>must include access to:</w:t>
            </w:r>
          </w:p>
          <w:p w:rsidR="00000000" w:rsidRPr="008D0DF7" w:rsidP="008D0DF7">
            <w:pPr>
              <w:pStyle w:val="ListBullet"/>
            </w:pPr>
            <w:r w:rsidRPr="008D0DF7">
              <w:t>a range of relevant exercises, case studies and/or other simulations</w:t>
            </w:r>
          </w:p>
          <w:p w:rsidR="00000000" w:rsidRPr="008D0DF7" w:rsidP="008D0DF7">
            <w:pPr>
              <w:pStyle w:val="ListBullet"/>
            </w:pPr>
            <w:r w:rsidRPr="008D0DF7">
              <w:t xml:space="preserve">relevant and appropriate materials, tools, equipment and personal protective equipment currently used in industry </w:t>
            </w:r>
          </w:p>
          <w:p w:rsidR="00000000" w:rsidRPr="008D0DF7" w:rsidP="008D0DF7">
            <w:pPr>
              <w:pStyle w:val="ListBullet"/>
            </w:pPr>
            <w:r w:rsidRPr="008D0DF7">
              <w:t>applicable documentation including workplace pr</w:t>
            </w:r>
            <w:r w:rsidRPr="008D0DF7">
              <w:t>ocedures, regulations, codes of practice and operation manuals.</w:t>
            </w:r>
          </w:p>
        </w:tc>
      </w:tr>
    </w:tbl>
    <w:p w:rsidR="00000000" w:rsidRPr="008D0DF7" w:rsidP="008D0DF7">
      <w:pPr>
        <w:pStyle w:val="NoPaddingFontSize1"/>
      </w:pPr>
    </w:p>
    <w:p w:rsidR="00000000" w:rsidRPr="008D0DF7" w:rsidP="008D0DF7">
      <w:pPr>
        <w:pStyle w:val="AllowPageBreak"/>
      </w:pPr>
    </w:p>
    <w:p w:rsidR="00000000" w:rsidRPr="008D0DF7" w:rsidP="008D0DF7">
      <w:pPr>
        <w:pStyle w:val="Heading1"/>
      </w:pPr>
      <w:bookmarkStart w:id="5" w:name="O_955041"/>
      <w:bookmarkEnd w:id="5"/>
      <w:r w:rsidRPr="008D0DF7">
        <w:t>Links</w:t>
      </w:r>
    </w:p>
    <w:p w:rsidR="00000000" w:rsidRPr="008D0DF7" w:rsidP="00761C37">
      <w:pPr>
        <w:pStyle w:val="BodyText"/>
      </w:pPr>
      <w:r w:rsidRPr="008D0DF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65C9B">
        <w:rPr>
          <w:rStyle w:val="Hyperlink"/>
        </w:rPr>
        <w:t>https://vetnet.gov.au/Pages/TrainingDocs.aspx?q=df441c6e-213d-43e3-874c-0b3f7036d851</w:t>
      </w:r>
      <w:r>
        <w:fldChar w:fldCharType="end"/>
      </w:r>
    </w:p>
    <w:p w:rsidR="00000000" w:rsidRPr="008D0DF7" w:rsidP="008D0DF7"/>
    <w:sectPr w:rsidSect="008D0D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D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DF7" w:rsidRPr="00761C37" w:rsidP="00761C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D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C37" w:rsidP="008D0D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1C37" w:rsidP="008D0DF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761C37" w:rsidP="008D0D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D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C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0DF7" w:rsidRPr="00761C37" w:rsidP="00761C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D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C37" w:rsidRPr="002D2AF8" w:rsidP="008D0DF7">
    <w:pPr>
      <w:pStyle w:val="Header"/>
      <w:framePr w:wrap="around"/>
    </w:pPr>
    <w:r>
      <w:fldChar w:fldCharType="begin"/>
    </w:r>
    <w:r>
      <w:instrText xml:space="preserve"> TITLE   \* MERGEFORMAT </w:instrText>
    </w:r>
    <w:r>
      <w:fldChar w:fldCharType="separate"/>
    </w:r>
    <w:r>
      <w:t>Assessment Requirements for TLIF0006 Administer a fatigue risk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761C37" w:rsidP="008D0D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10E5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36CE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9A4A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D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0DF7"/>
    <w:pPr>
      <w:spacing w:before="360" w:after="60"/>
      <w:outlineLvl w:val="0"/>
    </w:pPr>
    <w:rPr>
      <w:sz w:val="32"/>
    </w:rPr>
  </w:style>
  <w:style w:type="paragraph" w:styleId="Heading2">
    <w:name w:val="heading 2"/>
    <w:basedOn w:val="HeadingBase"/>
    <w:next w:val="BodyText"/>
    <w:link w:val="Heading2Char"/>
    <w:qFormat/>
    <w:rsid w:val="008D0DF7"/>
    <w:pPr>
      <w:keepLines/>
      <w:spacing w:before="240" w:after="120"/>
      <w:outlineLvl w:val="1"/>
    </w:pPr>
    <w:rPr>
      <w:sz w:val="28"/>
      <w:szCs w:val="40"/>
    </w:rPr>
  </w:style>
  <w:style w:type="paragraph" w:styleId="Heading3">
    <w:name w:val="heading 3"/>
    <w:basedOn w:val="HeadingBase"/>
    <w:next w:val="BodyText"/>
    <w:link w:val="Heading3Char"/>
    <w:qFormat/>
    <w:rsid w:val="008D0DF7"/>
    <w:pPr>
      <w:spacing w:before="180" w:after="120"/>
      <w:outlineLvl w:val="2"/>
    </w:pPr>
    <w:rPr>
      <w:spacing w:val="-10"/>
      <w:kern w:val="32"/>
    </w:rPr>
  </w:style>
  <w:style w:type="paragraph" w:styleId="Heading4">
    <w:name w:val="heading 4"/>
    <w:basedOn w:val="HeadingBase"/>
    <w:next w:val="BodyText"/>
    <w:link w:val="Heading4Char"/>
    <w:qFormat/>
    <w:rsid w:val="008D0DF7"/>
    <w:pPr>
      <w:spacing w:before="160" w:after="120"/>
      <w:outlineLvl w:val="3"/>
    </w:pPr>
    <w:rPr>
      <w:sz w:val="22"/>
    </w:rPr>
  </w:style>
  <w:style w:type="paragraph" w:styleId="Heading5">
    <w:name w:val="heading 5"/>
    <w:basedOn w:val="HeadingBase"/>
    <w:next w:val="Normal"/>
    <w:link w:val="Heading5Char"/>
    <w:qFormat/>
    <w:rsid w:val="008D0DF7"/>
    <w:pPr>
      <w:spacing w:before="80"/>
      <w:outlineLvl w:val="4"/>
    </w:pPr>
    <w:rPr>
      <w:color w:val="918585"/>
      <w:sz w:val="20"/>
    </w:rPr>
  </w:style>
  <w:style w:type="paragraph" w:styleId="Heading6">
    <w:name w:val="heading 6"/>
    <w:basedOn w:val="HeadingBase"/>
    <w:next w:val="Normal"/>
    <w:link w:val="Heading6Char"/>
    <w:qFormat/>
    <w:rsid w:val="008D0DF7"/>
    <w:pPr>
      <w:spacing w:before="60"/>
      <w:outlineLvl w:val="5"/>
    </w:pPr>
    <w:rPr>
      <w:color w:val="918585"/>
      <w:sz w:val="20"/>
    </w:rPr>
  </w:style>
  <w:style w:type="paragraph" w:styleId="Heading7">
    <w:name w:val="heading 7"/>
    <w:basedOn w:val="Normal"/>
    <w:next w:val="Normal"/>
    <w:link w:val="Heading7Char"/>
    <w:qFormat/>
    <w:rsid w:val="008D0DF7"/>
    <w:pPr>
      <w:ind w:left="720"/>
      <w:outlineLvl w:val="6"/>
    </w:pPr>
    <w:rPr>
      <w:i/>
    </w:rPr>
  </w:style>
  <w:style w:type="paragraph" w:styleId="Heading8">
    <w:name w:val="heading 8"/>
    <w:basedOn w:val="Normal"/>
    <w:next w:val="Normal"/>
    <w:link w:val="Heading8Char"/>
    <w:qFormat/>
    <w:rsid w:val="008D0DF7"/>
    <w:pPr>
      <w:ind w:left="720"/>
      <w:outlineLvl w:val="7"/>
    </w:pPr>
    <w:rPr>
      <w:i/>
    </w:rPr>
  </w:style>
  <w:style w:type="paragraph" w:styleId="Heading9">
    <w:name w:val="heading 9"/>
    <w:basedOn w:val="Normal"/>
    <w:next w:val="Normal"/>
    <w:link w:val="Heading9Char"/>
    <w:qFormat/>
    <w:rsid w:val="008D0DF7"/>
    <w:pPr>
      <w:ind w:left="720"/>
      <w:outlineLvl w:val="8"/>
    </w:pPr>
    <w:rPr>
      <w:i/>
    </w:rPr>
  </w:style>
  <w:style w:type="character" w:default="1" w:styleId="DefaultParagraphFont">
    <w:name w:val="Default Paragraph Font"/>
    <w:uiPriority w:val="1"/>
    <w:unhideWhenUsed/>
    <w:rsid w:val="008D0D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0DF7"/>
  </w:style>
  <w:style w:type="character" w:customStyle="1" w:styleId="Heading1Char">
    <w:name w:val="Heading 1 Char"/>
    <w:basedOn w:val="DefaultParagraphFont"/>
    <w:link w:val="Heading1"/>
    <w:rsid w:val="008D0DF7"/>
    <w:rPr>
      <w:rFonts w:ascii="Times New Roman" w:eastAsia="Times New Roman" w:hAnsi="Times New Roman" w:cs="Times New Roman"/>
      <w:b/>
      <w:sz w:val="32"/>
      <w:szCs w:val="20"/>
      <w:lang w:eastAsia="en-US"/>
    </w:rPr>
  </w:style>
  <w:style w:type="paragraph" w:styleId="BodyText">
    <w:name w:val="Body Text"/>
    <w:basedOn w:val="Normal"/>
    <w:link w:val="BodyTextChar"/>
    <w:rsid w:val="008D0D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0DF7"/>
    <w:rPr>
      <w:rFonts w:ascii="Times New Roman" w:eastAsia="Times New Roman" w:hAnsi="Times New Roman" w:cs="Times New Roman"/>
      <w:sz w:val="24"/>
      <w:lang w:eastAsia="en-US"/>
    </w:rPr>
  </w:style>
  <w:style w:type="paragraph" w:styleId="ListBullet">
    <w:name w:val="List Bullet"/>
    <w:basedOn w:val="List"/>
    <w:rsid w:val="008D0DF7"/>
    <w:pPr>
      <w:numPr>
        <w:numId w:val="12"/>
      </w:numPr>
      <w:tabs>
        <w:tab w:val="clear" w:pos="340"/>
      </w:tabs>
      <w:spacing w:before="40" w:after="40"/>
    </w:pPr>
  </w:style>
  <w:style w:type="character" w:customStyle="1" w:styleId="SpecialBold">
    <w:name w:val="Special Bold"/>
    <w:basedOn w:val="DefaultParagraphFont"/>
    <w:rsid w:val="008D0DF7"/>
    <w:rPr>
      <w:b/>
      <w:spacing w:val="0"/>
    </w:rPr>
  </w:style>
  <w:style w:type="paragraph" w:styleId="ListBullet2">
    <w:name w:val="List Bullet 2"/>
    <w:basedOn w:val="List2"/>
    <w:rsid w:val="008D0DF7"/>
    <w:pPr>
      <w:numPr>
        <w:numId w:val="13"/>
      </w:numPr>
      <w:tabs>
        <w:tab w:val="clear" w:pos="680"/>
      </w:tabs>
    </w:pPr>
  </w:style>
  <w:style w:type="character" w:styleId="Emphasis">
    <w:name w:val="Emphasis"/>
    <w:basedOn w:val="DefaultParagraphFont"/>
    <w:qFormat/>
    <w:rsid w:val="008D0DF7"/>
    <w:rPr>
      <w:i/>
    </w:rPr>
  </w:style>
  <w:style w:type="paragraph" w:customStyle="1" w:styleId="SuperHeading">
    <w:name w:val="SuperHeading"/>
    <w:basedOn w:val="Normal"/>
    <w:rsid w:val="008D0DF7"/>
    <w:pPr>
      <w:spacing w:before="240" w:after="120"/>
      <w:outlineLvl w:val="0"/>
    </w:pPr>
    <w:rPr>
      <w:rFonts w:ascii="Times New Roman" w:hAnsi="Times New Roman"/>
      <w:b/>
      <w:sz w:val="32"/>
    </w:rPr>
  </w:style>
  <w:style w:type="paragraph" w:customStyle="1" w:styleId="AllowPageBreak">
    <w:name w:val="AllowPageBreak"/>
    <w:rsid w:val="008D0DF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D0D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0D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0D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0D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0D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0D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0D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0DF7"/>
    <w:rPr>
      <w:rFonts w:ascii="Courier New" w:eastAsia="Times New Roman" w:hAnsi="Courier New" w:cs="Times New Roman"/>
      <w:i/>
      <w:szCs w:val="20"/>
      <w:lang w:eastAsia="en-US"/>
    </w:rPr>
  </w:style>
  <w:style w:type="paragraph" w:customStyle="1" w:styleId="HeadingBase">
    <w:name w:val="Heading Base"/>
    <w:rsid w:val="008D0D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0DF7"/>
    <w:pPr>
      <w:tabs>
        <w:tab w:val="right" w:leader="dot" w:pos="9072"/>
      </w:tabs>
      <w:ind w:left="567"/>
    </w:pPr>
    <w:rPr>
      <w:szCs w:val="22"/>
    </w:rPr>
  </w:style>
  <w:style w:type="paragraph" w:customStyle="1" w:styleId="TOCBase">
    <w:name w:val="TOC Base"/>
    <w:rsid w:val="008D0D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0DF7"/>
    <w:pPr>
      <w:tabs>
        <w:tab w:val="right" w:leader="dot" w:pos="9072"/>
      </w:tabs>
      <w:spacing w:before="40" w:after="40"/>
      <w:ind w:left="284"/>
    </w:pPr>
    <w:rPr>
      <w:rFonts w:ascii="Times New Roman" w:hAnsi="Times New Roman"/>
    </w:rPr>
  </w:style>
  <w:style w:type="paragraph" w:styleId="TOC1">
    <w:name w:val="toc 1"/>
    <w:basedOn w:val="TOCBase"/>
    <w:next w:val="Normal"/>
    <w:rsid w:val="008D0D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0D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0DF7"/>
    <w:rPr>
      <w:rFonts w:ascii="Times New Roman" w:eastAsia="Times New Roman" w:hAnsi="Times New Roman" w:cs="Times New Roman"/>
      <w:sz w:val="16"/>
      <w:lang w:eastAsia="en-US"/>
    </w:rPr>
  </w:style>
  <w:style w:type="paragraph" w:styleId="Title">
    <w:name w:val="Title"/>
    <w:basedOn w:val="HeadingBase"/>
    <w:link w:val="TitleChar"/>
    <w:qFormat/>
    <w:rsid w:val="008D0DF7"/>
    <w:pPr>
      <w:spacing w:before="5040"/>
      <w:jc w:val="center"/>
    </w:pPr>
    <w:rPr>
      <w:sz w:val="48"/>
      <w:szCs w:val="72"/>
      <w:lang w:val="en-US"/>
    </w:rPr>
  </w:style>
  <w:style w:type="character" w:customStyle="1" w:styleId="TitleChar">
    <w:name w:val="Title Char"/>
    <w:basedOn w:val="DefaultParagraphFont"/>
    <w:link w:val="Title"/>
    <w:rsid w:val="008D0D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0DF7"/>
    <w:pPr>
      <w:tabs>
        <w:tab w:val="left" w:pos="3600"/>
        <w:tab w:val="left" w:pos="3958"/>
      </w:tabs>
    </w:pPr>
  </w:style>
  <w:style w:type="paragraph" w:styleId="List">
    <w:name w:val="List"/>
    <w:basedOn w:val="BodyText"/>
    <w:next w:val="BodyText"/>
    <w:rsid w:val="008D0DF7"/>
    <w:pPr>
      <w:tabs>
        <w:tab w:val="left" w:pos="340"/>
      </w:tabs>
      <w:spacing w:before="60" w:after="60"/>
      <w:ind w:left="340" w:hanging="340"/>
    </w:pPr>
  </w:style>
  <w:style w:type="paragraph" w:customStyle="1" w:styleId="Note">
    <w:name w:val="Note"/>
    <w:basedOn w:val="BodyText"/>
    <w:rsid w:val="008D0D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0DF7"/>
    <w:pPr>
      <w:framePr w:wrap="auto" w:hAnchor="text" w:y="6049"/>
    </w:pPr>
    <w:rPr>
      <w:color w:val="000000"/>
      <w:sz w:val="40"/>
    </w:rPr>
  </w:style>
  <w:style w:type="paragraph" w:customStyle="1" w:styleId="TOCTitle">
    <w:name w:val="TOCTitle"/>
    <w:basedOn w:val="Heading1"/>
    <w:rsid w:val="008D0DF7"/>
    <w:pPr>
      <w:spacing w:after="240"/>
      <w:jc w:val="center"/>
      <w:outlineLvl w:val="9"/>
    </w:pPr>
    <w:rPr>
      <w:caps/>
    </w:rPr>
  </w:style>
  <w:style w:type="paragraph" w:customStyle="1" w:styleId="Version">
    <w:name w:val="Version"/>
    <w:rsid w:val="008D0D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0DF7"/>
    <w:pPr>
      <w:keepNext w:val="0"/>
      <w:tabs>
        <w:tab w:val="right" w:pos="4176"/>
      </w:tabs>
      <w:ind w:left="198" w:hanging="198"/>
    </w:pPr>
    <w:rPr>
      <w:rFonts w:ascii="Garamond" w:hAnsi="Garamond"/>
    </w:rPr>
  </w:style>
  <w:style w:type="paragraph" w:styleId="IndexHeading">
    <w:name w:val="index heading"/>
    <w:basedOn w:val="Normal"/>
    <w:next w:val="Index1"/>
    <w:semiHidden/>
    <w:rsid w:val="008D0DF7"/>
    <w:pPr>
      <w:spacing w:before="120" w:after="120"/>
    </w:pPr>
    <w:rPr>
      <w:rFonts w:ascii="Arial" w:hAnsi="Arial"/>
      <w:b/>
      <w:color w:val="918585"/>
      <w:sz w:val="24"/>
    </w:rPr>
  </w:style>
  <w:style w:type="paragraph" w:styleId="Header">
    <w:name w:val="header"/>
    <w:basedOn w:val="Normal"/>
    <w:link w:val="HeaderChar"/>
    <w:rsid w:val="008D0D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0DF7"/>
    <w:rPr>
      <w:rFonts w:ascii="Times New Roman" w:eastAsia="Times New Roman" w:hAnsi="Times New Roman" w:cs="Times New Roman"/>
      <w:sz w:val="16"/>
      <w:szCs w:val="20"/>
      <w:lang w:val="en-GB" w:eastAsia="en-US"/>
    </w:rPr>
  </w:style>
  <w:style w:type="paragraph" w:customStyle="1" w:styleId="Chapter">
    <w:name w:val="Chapter"/>
    <w:basedOn w:val="Normal"/>
    <w:rsid w:val="008D0DF7"/>
    <w:pPr>
      <w:spacing w:before="240"/>
    </w:pPr>
    <w:rPr>
      <w:rFonts w:ascii="Times New Roman" w:hAnsi="Times New Roman"/>
      <w:smallCaps/>
      <w:spacing w:val="80"/>
      <w:sz w:val="28"/>
    </w:rPr>
  </w:style>
  <w:style w:type="paragraph" w:customStyle="1" w:styleId="InChapter">
    <w:name w:val="InChapter"/>
    <w:basedOn w:val="Heading3"/>
    <w:rsid w:val="008D0DF7"/>
    <w:pPr>
      <w:spacing w:after="240"/>
      <w:outlineLvl w:val="9"/>
    </w:pPr>
    <w:rPr>
      <w:noProof/>
    </w:rPr>
  </w:style>
  <w:style w:type="paragraph" w:styleId="Index2">
    <w:name w:val="index 2"/>
    <w:basedOn w:val="Normal"/>
    <w:next w:val="Normal"/>
    <w:semiHidden/>
    <w:rsid w:val="008D0DF7"/>
    <w:pPr>
      <w:tabs>
        <w:tab w:val="right" w:pos="4176"/>
      </w:tabs>
      <w:ind w:left="568" w:hanging="284"/>
    </w:pPr>
    <w:rPr>
      <w:rFonts w:ascii="Garamond" w:hAnsi="Garamond"/>
    </w:rPr>
  </w:style>
  <w:style w:type="paragraph" w:customStyle="1" w:styleId="Byline">
    <w:name w:val="Byline"/>
    <w:rsid w:val="008D0D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0DF7"/>
    <w:pPr>
      <w:tabs>
        <w:tab w:val="clear" w:pos="3600"/>
        <w:tab w:val="clear" w:pos="3958"/>
      </w:tabs>
      <w:jc w:val="right"/>
    </w:pPr>
  </w:style>
  <w:style w:type="paragraph" w:styleId="Caption">
    <w:name w:val="caption"/>
    <w:basedOn w:val="BodyText"/>
    <w:next w:val="Normal"/>
    <w:qFormat/>
    <w:rsid w:val="008D0DF7"/>
    <w:pPr>
      <w:framePr w:w="2268" w:hSpace="181" w:vSpace="181" w:wrap="around" w:vAnchor="text" w:hAnchor="page" w:x="1135" w:y="285" w:anchorLock="1"/>
    </w:pPr>
    <w:rPr>
      <w:i/>
    </w:rPr>
  </w:style>
  <w:style w:type="paragraph" w:customStyle="1" w:styleId="MiniTOCTitle">
    <w:name w:val="MiniTOCTitle"/>
    <w:basedOn w:val="Heading4"/>
    <w:rsid w:val="008D0DF7"/>
    <w:pPr>
      <w:spacing w:before="240"/>
      <w:outlineLvl w:val="9"/>
    </w:pPr>
    <w:rPr>
      <w:noProof/>
      <w:sz w:val="24"/>
    </w:rPr>
  </w:style>
  <w:style w:type="paragraph" w:customStyle="1" w:styleId="MiniTOCItem">
    <w:name w:val="MiniTOCItem"/>
    <w:basedOn w:val="ListBullet"/>
    <w:rsid w:val="008D0DF7"/>
    <w:pPr>
      <w:numPr>
        <w:numId w:val="0"/>
      </w:numPr>
      <w:tabs>
        <w:tab w:val="right" w:leader="dot" w:pos="6521"/>
      </w:tabs>
      <w:spacing w:before="0" w:after="0"/>
    </w:pPr>
  </w:style>
  <w:style w:type="paragraph" w:customStyle="1" w:styleId="TOFTitle">
    <w:name w:val="TOFTitle"/>
    <w:basedOn w:val="TOCTitle"/>
    <w:rsid w:val="008D0DF7"/>
  </w:style>
  <w:style w:type="paragraph" w:styleId="TableofFigures">
    <w:name w:val="table of figures"/>
    <w:basedOn w:val="Normal"/>
    <w:next w:val="Normal"/>
    <w:semiHidden/>
    <w:rsid w:val="008D0DF7"/>
    <w:pPr>
      <w:tabs>
        <w:tab w:val="right" w:leader="dot" w:pos="9072"/>
      </w:tabs>
      <w:ind w:left="970" w:hanging="403"/>
    </w:pPr>
    <w:rPr>
      <w:rFonts w:ascii="Times New Roman" w:hAnsi="Times New Roman"/>
      <w:b/>
    </w:rPr>
  </w:style>
  <w:style w:type="paragraph" w:styleId="ListNumber">
    <w:name w:val="List Number"/>
    <w:basedOn w:val="List"/>
    <w:rsid w:val="008D0DF7"/>
    <w:pPr>
      <w:numPr>
        <w:numId w:val="15"/>
      </w:numPr>
      <w:tabs>
        <w:tab w:val="clear" w:pos="340"/>
      </w:tabs>
    </w:pPr>
  </w:style>
  <w:style w:type="character" w:customStyle="1" w:styleId="WingdingSymbols">
    <w:name w:val="Wingding Symbols"/>
    <w:rsid w:val="008D0DF7"/>
    <w:rPr>
      <w:rFonts w:ascii="Wingdings" w:hAnsi="Wingdings"/>
    </w:rPr>
  </w:style>
  <w:style w:type="paragraph" w:customStyle="1" w:styleId="TableHeading">
    <w:name w:val="Table Heading"/>
    <w:basedOn w:val="HeadingBase"/>
    <w:rsid w:val="008D0DF7"/>
    <w:pPr>
      <w:keepLines/>
      <w:pBdr>
        <w:bottom w:val="single" w:sz="6" w:space="1" w:color="918585"/>
      </w:pBdr>
      <w:spacing w:before="240"/>
    </w:pPr>
  </w:style>
  <w:style w:type="character" w:customStyle="1" w:styleId="HotSpot">
    <w:name w:val="HotSpot"/>
    <w:rsid w:val="008D0DF7"/>
    <w:rPr>
      <w:color w:val="0033CC"/>
      <w:u w:val="none"/>
    </w:rPr>
  </w:style>
  <w:style w:type="paragraph" w:customStyle="1" w:styleId="BodyTextRight">
    <w:name w:val="Body Text Right"/>
    <w:basedOn w:val="BodyText"/>
    <w:rsid w:val="008D0DF7"/>
    <w:pPr>
      <w:spacing w:before="0" w:after="0"/>
      <w:jc w:val="right"/>
    </w:pPr>
  </w:style>
  <w:style w:type="paragraph" w:styleId="Index3">
    <w:name w:val="index 3"/>
    <w:basedOn w:val="ListNumber2"/>
    <w:next w:val="Normal"/>
    <w:semiHidden/>
    <w:rsid w:val="008D0DF7"/>
    <w:pPr>
      <w:numPr>
        <w:numId w:val="0"/>
      </w:numPr>
      <w:tabs>
        <w:tab w:val="right" w:leader="dot" w:pos="4176"/>
      </w:tabs>
    </w:pPr>
  </w:style>
  <w:style w:type="paragraph" w:styleId="ListNumber2">
    <w:name w:val="List Number 2"/>
    <w:basedOn w:val="List2"/>
    <w:rsid w:val="008D0DF7"/>
    <w:pPr>
      <w:numPr>
        <w:numId w:val="10"/>
      </w:numPr>
      <w:tabs>
        <w:tab w:val="clear" w:pos="1060"/>
      </w:tabs>
    </w:pPr>
  </w:style>
  <w:style w:type="paragraph" w:customStyle="1" w:styleId="MarginNote">
    <w:name w:val="Margin Note"/>
    <w:basedOn w:val="BodyText"/>
    <w:rsid w:val="008D0D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0D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0D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0DF7"/>
    <w:rPr>
      <w:sz w:val="32"/>
    </w:rPr>
  </w:style>
  <w:style w:type="paragraph" w:customStyle="1" w:styleId="HeadingProcedure">
    <w:name w:val="Heading Procedure"/>
    <w:basedOn w:val="HeadingBase"/>
    <w:next w:val="Normal"/>
    <w:rsid w:val="008D0DF7"/>
    <w:pPr>
      <w:tabs>
        <w:tab w:val="left" w:pos="0"/>
      </w:tabs>
      <w:spacing w:before="120" w:after="60"/>
    </w:pPr>
    <w:rPr>
      <w:i/>
      <w:color w:val="918585"/>
      <w:sz w:val="22"/>
    </w:rPr>
  </w:style>
  <w:style w:type="paragraph" w:customStyle="1" w:styleId="TableBodyText">
    <w:name w:val="Table Body Text"/>
    <w:basedOn w:val="BodyText"/>
    <w:rsid w:val="008D0DF7"/>
    <w:pPr>
      <w:spacing w:before="60" w:after="60"/>
    </w:pPr>
  </w:style>
  <w:style w:type="paragraph" w:styleId="ListContinue">
    <w:name w:val="List Continue"/>
    <w:basedOn w:val="List"/>
    <w:rsid w:val="008D0DF7"/>
    <w:pPr>
      <w:ind w:firstLine="0"/>
    </w:pPr>
  </w:style>
  <w:style w:type="paragraph" w:customStyle="1" w:styleId="ListNote">
    <w:name w:val="List Note"/>
    <w:basedOn w:val="List"/>
    <w:rsid w:val="008D0DF7"/>
    <w:pPr>
      <w:pBdr>
        <w:top w:val="single" w:sz="6" w:space="2" w:color="918585"/>
        <w:bottom w:val="single" w:sz="6" w:space="2" w:color="918585"/>
      </w:pBdr>
      <w:tabs>
        <w:tab w:val="left" w:pos="1021"/>
      </w:tabs>
      <w:ind w:firstLine="0"/>
    </w:pPr>
  </w:style>
  <w:style w:type="paragraph" w:customStyle="1" w:styleId="Warning">
    <w:name w:val="Warning"/>
    <w:basedOn w:val="BodyText"/>
    <w:rsid w:val="008D0DF7"/>
    <w:pPr>
      <w:shd w:val="clear" w:color="auto" w:fill="D9D9D9"/>
      <w:tabs>
        <w:tab w:val="left" w:pos="992"/>
      </w:tabs>
      <w:ind w:left="119" w:right="119"/>
    </w:pPr>
    <w:rPr>
      <w:sz w:val="20"/>
    </w:rPr>
  </w:style>
  <w:style w:type="paragraph" w:customStyle="1" w:styleId="MarginIcons">
    <w:name w:val="Margin Icons"/>
    <w:basedOn w:val="BodyText"/>
    <w:rsid w:val="008D0D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0DF7"/>
    <w:rPr>
      <w:rFonts w:ascii="Courier New" w:hAnsi="Courier New"/>
    </w:rPr>
  </w:style>
  <w:style w:type="paragraph" w:customStyle="1" w:styleId="NoteBullet">
    <w:name w:val="Note Bullet"/>
    <w:basedOn w:val="Note"/>
    <w:rsid w:val="008D0DF7"/>
    <w:pPr>
      <w:tabs>
        <w:tab w:val="clear" w:pos="680"/>
      </w:tabs>
      <w:spacing w:before="60" w:after="60"/>
    </w:pPr>
  </w:style>
  <w:style w:type="paragraph" w:customStyle="1" w:styleId="SubHeading2">
    <w:name w:val="SubHeading2"/>
    <w:basedOn w:val="HeadingBase"/>
    <w:rsid w:val="008D0DF7"/>
    <w:pPr>
      <w:spacing w:before="240" w:after="60"/>
    </w:pPr>
    <w:rPr>
      <w:sz w:val="20"/>
    </w:rPr>
  </w:style>
  <w:style w:type="paragraph" w:customStyle="1" w:styleId="SubHeading1">
    <w:name w:val="SubHeading1"/>
    <w:basedOn w:val="HeadingBase"/>
    <w:rsid w:val="008D0DF7"/>
    <w:pPr>
      <w:spacing w:before="240" w:after="60"/>
    </w:pPr>
    <w:rPr>
      <w:color w:val="918585"/>
      <w:sz w:val="22"/>
    </w:rPr>
  </w:style>
  <w:style w:type="paragraph" w:customStyle="1" w:styleId="SideHeading">
    <w:name w:val="Side Heading"/>
    <w:basedOn w:val="HeadingBase"/>
    <w:rsid w:val="008D0D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0DF7"/>
    <w:pPr>
      <w:tabs>
        <w:tab w:val="num" w:pos="360"/>
      </w:tabs>
    </w:pPr>
  </w:style>
  <w:style w:type="paragraph" w:styleId="PlainText">
    <w:name w:val="Plain Text"/>
    <w:basedOn w:val="Normal"/>
    <w:link w:val="PlainTextChar"/>
    <w:rsid w:val="008D0DF7"/>
    <w:rPr>
      <w:sz w:val="20"/>
    </w:rPr>
  </w:style>
  <w:style w:type="character" w:customStyle="1" w:styleId="PlainTextChar">
    <w:name w:val="Plain Text Char"/>
    <w:basedOn w:val="DefaultParagraphFont"/>
    <w:link w:val="PlainText"/>
    <w:rsid w:val="008D0DF7"/>
    <w:rPr>
      <w:rFonts w:ascii="Courier New" w:eastAsia="Times New Roman" w:hAnsi="Courier New" w:cs="Times New Roman"/>
      <w:sz w:val="20"/>
      <w:szCs w:val="20"/>
      <w:lang w:eastAsia="en-US"/>
    </w:rPr>
  </w:style>
  <w:style w:type="character" w:customStyle="1" w:styleId="MenuOption">
    <w:name w:val="Menu Option"/>
    <w:basedOn w:val="DefaultParagraphFont"/>
    <w:rsid w:val="008D0DF7"/>
    <w:rPr>
      <w:b/>
      <w:smallCaps/>
    </w:rPr>
  </w:style>
  <w:style w:type="paragraph" w:customStyle="1" w:styleId="TableListNumber">
    <w:name w:val="Table List Number"/>
    <w:basedOn w:val="ListNumber"/>
    <w:rsid w:val="008D0DF7"/>
    <w:pPr>
      <w:numPr>
        <w:numId w:val="0"/>
      </w:numPr>
    </w:pPr>
  </w:style>
  <w:style w:type="paragraph" w:styleId="TOC4">
    <w:name w:val="toc 4"/>
    <w:basedOn w:val="TOCBase"/>
    <w:next w:val="Normal"/>
    <w:semiHidden/>
    <w:rsid w:val="008D0DF7"/>
    <w:pPr>
      <w:tabs>
        <w:tab w:val="right" w:leader="dot" w:pos="9071"/>
      </w:tabs>
      <w:ind w:left="1701"/>
    </w:pPr>
  </w:style>
  <w:style w:type="paragraph" w:customStyle="1" w:styleId="ListAlpha">
    <w:name w:val="List Alpha"/>
    <w:basedOn w:val="List"/>
    <w:rsid w:val="008D0DF7"/>
    <w:pPr>
      <w:numPr>
        <w:numId w:val="9"/>
      </w:numPr>
    </w:pPr>
  </w:style>
  <w:style w:type="paragraph" w:customStyle="1" w:styleId="ListAlpha2">
    <w:name w:val="List Alpha 2"/>
    <w:basedOn w:val="List2"/>
    <w:rsid w:val="008D0DF7"/>
    <w:pPr>
      <w:numPr>
        <w:numId w:val="8"/>
      </w:numPr>
    </w:pPr>
  </w:style>
  <w:style w:type="paragraph" w:styleId="List2">
    <w:name w:val="List 2"/>
    <w:basedOn w:val="BodyText"/>
    <w:rsid w:val="008D0DF7"/>
    <w:pPr>
      <w:tabs>
        <w:tab w:val="left" w:pos="680"/>
      </w:tabs>
      <w:spacing w:before="60" w:after="60"/>
      <w:ind w:left="680" w:hanging="340"/>
    </w:pPr>
  </w:style>
  <w:style w:type="paragraph" w:styleId="List3">
    <w:name w:val="List 3"/>
    <w:basedOn w:val="BodyText"/>
    <w:rsid w:val="008D0DF7"/>
    <w:pPr>
      <w:tabs>
        <w:tab w:val="left" w:pos="1021"/>
      </w:tabs>
      <w:spacing w:before="60" w:after="60"/>
      <w:ind w:left="1020" w:hanging="340"/>
    </w:pPr>
  </w:style>
  <w:style w:type="paragraph" w:styleId="List4">
    <w:name w:val="List 4"/>
    <w:basedOn w:val="BodyText"/>
    <w:rsid w:val="008D0DF7"/>
    <w:pPr>
      <w:tabs>
        <w:tab w:val="left" w:pos="1361"/>
      </w:tabs>
      <w:spacing w:before="60" w:after="60"/>
      <w:ind w:left="1361" w:hanging="340"/>
    </w:pPr>
  </w:style>
  <w:style w:type="paragraph" w:styleId="List5">
    <w:name w:val="List 5"/>
    <w:basedOn w:val="BodyText"/>
    <w:rsid w:val="008D0DF7"/>
    <w:pPr>
      <w:tabs>
        <w:tab w:val="left" w:pos="1701"/>
      </w:tabs>
      <w:spacing w:before="60" w:after="60"/>
      <w:ind w:left="1701" w:hanging="340"/>
    </w:pPr>
  </w:style>
  <w:style w:type="paragraph" w:styleId="ListBullet3">
    <w:name w:val="List Bullet 3"/>
    <w:basedOn w:val="List3"/>
    <w:rsid w:val="008D0DF7"/>
    <w:pPr>
      <w:numPr>
        <w:numId w:val="14"/>
      </w:numPr>
      <w:tabs>
        <w:tab w:val="clear" w:pos="1021"/>
      </w:tabs>
      <w:ind w:left="1037" w:hanging="357"/>
    </w:pPr>
  </w:style>
  <w:style w:type="paragraph" w:styleId="ListBullet4">
    <w:name w:val="List Bullet 4"/>
    <w:basedOn w:val="List4"/>
    <w:rsid w:val="008D0DF7"/>
    <w:pPr>
      <w:numPr>
        <w:numId w:val="3"/>
      </w:numPr>
      <w:tabs>
        <w:tab w:val="clear" w:pos="1361"/>
      </w:tabs>
    </w:pPr>
  </w:style>
  <w:style w:type="paragraph" w:styleId="ListBullet5">
    <w:name w:val="List Bullet 5"/>
    <w:basedOn w:val="List5"/>
    <w:rsid w:val="008D0DF7"/>
    <w:pPr>
      <w:numPr>
        <w:numId w:val="4"/>
      </w:numPr>
    </w:pPr>
  </w:style>
  <w:style w:type="paragraph" w:styleId="ListContinue2">
    <w:name w:val="List Continue 2"/>
    <w:basedOn w:val="List2"/>
    <w:rsid w:val="008D0DF7"/>
    <w:pPr>
      <w:ind w:firstLine="0"/>
    </w:pPr>
  </w:style>
  <w:style w:type="paragraph" w:styleId="ListContinue3">
    <w:name w:val="List Continue 3"/>
    <w:basedOn w:val="List3"/>
    <w:rsid w:val="008D0DF7"/>
    <w:pPr>
      <w:ind w:left="1021" w:firstLine="0"/>
    </w:pPr>
  </w:style>
  <w:style w:type="paragraph" w:styleId="ListContinue4">
    <w:name w:val="List Continue 4"/>
    <w:basedOn w:val="List4"/>
    <w:rsid w:val="008D0DF7"/>
    <w:pPr>
      <w:ind w:firstLine="0"/>
    </w:pPr>
  </w:style>
  <w:style w:type="paragraph" w:styleId="ListContinue5">
    <w:name w:val="List Continue 5"/>
    <w:basedOn w:val="List5"/>
    <w:rsid w:val="008D0DF7"/>
    <w:pPr>
      <w:ind w:firstLine="0"/>
    </w:pPr>
  </w:style>
  <w:style w:type="paragraph" w:styleId="ListNumber3">
    <w:name w:val="List Number 3"/>
    <w:basedOn w:val="List3"/>
    <w:rsid w:val="008D0DF7"/>
    <w:pPr>
      <w:numPr>
        <w:numId w:val="5"/>
      </w:numPr>
    </w:pPr>
  </w:style>
  <w:style w:type="paragraph" w:styleId="ListNumber4">
    <w:name w:val="List Number 4"/>
    <w:basedOn w:val="List4"/>
    <w:rsid w:val="008D0DF7"/>
    <w:pPr>
      <w:numPr>
        <w:numId w:val="6"/>
      </w:numPr>
    </w:pPr>
  </w:style>
  <w:style w:type="paragraph" w:styleId="ListNumber5">
    <w:name w:val="List Number 5"/>
    <w:basedOn w:val="List5"/>
    <w:rsid w:val="008D0DF7"/>
    <w:pPr>
      <w:numPr>
        <w:numId w:val="7"/>
      </w:numPr>
    </w:pPr>
  </w:style>
  <w:style w:type="paragraph" w:styleId="BlockText">
    <w:name w:val="Block Text"/>
    <w:basedOn w:val="Normal"/>
    <w:rsid w:val="008D0DF7"/>
    <w:pPr>
      <w:spacing w:after="120"/>
      <w:ind w:left="1440" w:right="1440"/>
    </w:pPr>
  </w:style>
  <w:style w:type="character" w:customStyle="1" w:styleId="Subscript">
    <w:name w:val="Subscript"/>
    <w:basedOn w:val="DefaultParagraphFont"/>
    <w:rsid w:val="008D0DF7"/>
    <w:rPr>
      <w:sz w:val="16"/>
      <w:vertAlign w:val="subscript"/>
    </w:rPr>
  </w:style>
  <w:style w:type="character" w:customStyle="1" w:styleId="Superscript">
    <w:name w:val="Superscript"/>
    <w:basedOn w:val="DefaultParagraphFont"/>
    <w:rsid w:val="008D0DF7"/>
    <w:rPr>
      <w:sz w:val="16"/>
      <w:vertAlign w:val="superscript"/>
    </w:rPr>
  </w:style>
  <w:style w:type="character" w:customStyle="1" w:styleId="Symbols">
    <w:name w:val="Symbols"/>
    <w:basedOn w:val="DefaultParagraphFont"/>
    <w:rsid w:val="008D0DF7"/>
    <w:rPr>
      <w:rFonts w:ascii="Symbol" w:hAnsi="Symbol"/>
    </w:rPr>
  </w:style>
  <w:style w:type="character" w:customStyle="1" w:styleId="MenuOptions">
    <w:name w:val="Menu Options"/>
    <w:basedOn w:val="DefaultParagraphFont"/>
    <w:rsid w:val="008D0DF7"/>
    <w:rPr>
      <w:rFonts w:ascii="Arial Narrow" w:hAnsi="Arial Narrow"/>
      <w:smallCaps/>
    </w:rPr>
  </w:style>
  <w:style w:type="character" w:customStyle="1" w:styleId="Buttons">
    <w:name w:val="Buttons"/>
    <w:basedOn w:val="DefaultParagraphFont"/>
    <w:rsid w:val="008D0DF7"/>
    <w:rPr>
      <w:b/>
    </w:rPr>
  </w:style>
  <w:style w:type="character" w:customStyle="1" w:styleId="Underlined">
    <w:name w:val="Underlined"/>
    <w:basedOn w:val="DefaultParagraphFont"/>
    <w:rsid w:val="008D0DF7"/>
    <w:rPr>
      <w:u w:val="single"/>
    </w:rPr>
  </w:style>
  <w:style w:type="paragraph" w:customStyle="1" w:styleId="TableBodyTextRight">
    <w:name w:val="Table Body Text Right"/>
    <w:basedOn w:val="TableBodyText"/>
    <w:rsid w:val="008D0DF7"/>
    <w:pPr>
      <w:widowControl w:val="0"/>
      <w:autoSpaceDE w:val="0"/>
      <w:autoSpaceDN w:val="0"/>
      <w:adjustRightInd w:val="0"/>
      <w:jc w:val="right"/>
    </w:pPr>
    <w:rPr>
      <w:rFonts w:cs="Arial"/>
      <w:szCs w:val="18"/>
    </w:rPr>
  </w:style>
  <w:style w:type="paragraph" w:customStyle="1" w:styleId="CopyrightText">
    <w:name w:val="Copyright Text"/>
    <w:basedOn w:val="BodyText"/>
    <w:rsid w:val="008D0DF7"/>
    <w:rPr>
      <w:sz w:val="18"/>
    </w:rPr>
  </w:style>
  <w:style w:type="paragraph" w:customStyle="1" w:styleId="BodySmallRight">
    <w:name w:val="Body Small Right"/>
    <w:basedOn w:val="BodyTextRight"/>
    <w:rsid w:val="008D0DF7"/>
    <w:rPr>
      <w:sz w:val="18"/>
      <w:szCs w:val="18"/>
    </w:rPr>
  </w:style>
  <w:style w:type="paragraph" w:customStyle="1" w:styleId="MarginEdition">
    <w:name w:val="Margin Edition"/>
    <w:basedOn w:val="MarginNote"/>
    <w:rsid w:val="008D0DF7"/>
    <w:pPr>
      <w:spacing w:before="0" w:after="0"/>
    </w:pPr>
    <w:rPr>
      <w:rFonts w:ascii="Times New Roman" w:hAnsi="Times New Roman"/>
      <w:color w:val="999999"/>
    </w:rPr>
  </w:style>
  <w:style w:type="paragraph" w:customStyle="1" w:styleId="Spacer">
    <w:name w:val="Spacer"/>
    <w:basedOn w:val="Normal"/>
    <w:rsid w:val="008D0DF7"/>
    <w:rPr>
      <w:sz w:val="2"/>
      <w:szCs w:val="2"/>
    </w:rPr>
  </w:style>
  <w:style w:type="character" w:customStyle="1" w:styleId="Small">
    <w:name w:val="Small"/>
    <w:basedOn w:val="DefaultParagraphFont"/>
    <w:rsid w:val="008D0DF7"/>
    <w:rPr>
      <w:sz w:val="16"/>
    </w:rPr>
  </w:style>
  <w:style w:type="paragraph" w:customStyle="1" w:styleId="WideTable">
    <w:name w:val="Wide Table"/>
    <w:basedOn w:val="Normal"/>
    <w:rsid w:val="008D0DF7"/>
    <w:pPr>
      <w:ind w:left="-1418"/>
    </w:pPr>
    <w:rPr>
      <w:sz w:val="2"/>
      <w:szCs w:val="2"/>
    </w:rPr>
  </w:style>
  <w:style w:type="character" w:styleId="PageNumber">
    <w:name w:val="page number"/>
    <w:basedOn w:val="DefaultParagraphFont"/>
    <w:rsid w:val="008D0DF7"/>
  </w:style>
  <w:style w:type="paragraph" w:styleId="Quote">
    <w:name w:val="Quote"/>
    <w:basedOn w:val="Heading1"/>
    <w:link w:val="QuoteChar"/>
    <w:qFormat/>
    <w:rsid w:val="008D0DF7"/>
    <w:rPr>
      <w:b w:val="0"/>
      <w:sz w:val="72"/>
      <w:szCs w:val="72"/>
      <w:lang w:val="en-NZ"/>
    </w:rPr>
  </w:style>
  <w:style w:type="character" w:customStyle="1" w:styleId="QuoteChar">
    <w:name w:val="Quote Char"/>
    <w:basedOn w:val="DefaultParagraphFont"/>
    <w:link w:val="Quote"/>
    <w:rsid w:val="008D0D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0DF7"/>
    <w:pPr>
      <w:pageBreakBefore/>
    </w:pPr>
  </w:style>
  <w:style w:type="paragraph" w:customStyle="1" w:styleId="Border">
    <w:name w:val="Border"/>
    <w:basedOn w:val="Normal"/>
    <w:qFormat/>
    <w:rsid w:val="008D0D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0DF7"/>
    <w:rPr>
      <w:b/>
      <w:bCs/>
      <w:i/>
      <w:iCs/>
      <w:color w:val="auto"/>
    </w:rPr>
  </w:style>
  <w:style w:type="paragraph" w:styleId="IntenseQuote">
    <w:name w:val="Intense Quote"/>
    <w:basedOn w:val="Normal"/>
    <w:next w:val="Normal"/>
    <w:link w:val="IntenseQuoteChar"/>
    <w:uiPriority w:val="30"/>
    <w:qFormat/>
    <w:rsid w:val="008D0D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0D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0DF7"/>
    <w:rPr>
      <w:smallCaps/>
      <w:color w:val="auto"/>
      <w:u w:val="single"/>
    </w:rPr>
  </w:style>
  <w:style w:type="character" w:styleId="IntenseReference">
    <w:name w:val="Intense Reference"/>
    <w:basedOn w:val="DefaultParagraphFont"/>
    <w:uiPriority w:val="32"/>
    <w:qFormat/>
    <w:rsid w:val="008D0DF7"/>
    <w:rPr>
      <w:b/>
      <w:bCs/>
      <w:smallCaps/>
      <w:color w:val="auto"/>
      <w:spacing w:val="5"/>
      <w:u w:val="single"/>
    </w:rPr>
  </w:style>
  <w:style w:type="paragraph" w:customStyle="1" w:styleId="2ColumnHeading">
    <w:name w:val="2Column Heading"/>
    <w:basedOn w:val="BodyText"/>
    <w:qFormat/>
    <w:rsid w:val="008D0DF7"/>
    <w:pPr>
      <w:spacing w:after="60"/>
      <w:ind w:left="-2268"/>
    </w:pPr>
    <w:rPr>
      <w:b/>
    </w:rPr>
  </w:style>
  <w:style w:type="paragraph" w:customStyle="1" w:styleId="Heading1TOC">
    <w:name w:val="Heading1 TOC"/>
    <w:basedOn w:val="Normal"/>
    <w:qFormat/>
    <w:rsid w:val="008D0DF7"/>
    <w:pPr>
      <w:spacing w:before="240" w:after="120"/>
    </w:pPr>
    <w:rPr>
      <w:rFonts w:ascii="Times New Roman" w:hAnsi="Times New Roman"/>
      <w:b/>
      <w:sz w:val="32"/>
    </w:rPr>
  </w:style>
  <w:style w:type="paragraph" w:customStyle="1" w:styleId="Heading2TOC">
    <w:name w:val="Heading2 TOC"/>
    <w:basedOn w:val="Normal"/>
    <w:qFormat/>
    <w:rsid w:val="008D0DF7"/>
    <w:pPr>
      <w:spacing w:before="240" w:after="60"/>
    </w:pPr>
    <w:rPr>
      <w:rFonts w:ascii="Times New Roman" w:hAnsi="Times New Roman"/>
      <w:b/>
      <w:sz w:val="28"/>
    </w:rPr>
  </w:style>
  <w:style w:type="character" w:customStyle="1" w:styleId="Underline">
    <w:name w:val="Underline"/>
    <w:basedOn w:val="DefaultParagraphFont"/>
    <w:qFormat/>
    <w:rsid w:val="008D0DF7"/>
    <w:rPr>
      <w:u w:val="single"/>
    </w:rPr>
  </w:style>
  <w:style w:type="character" w:customStyle="1" w:styleId="BoldandItalics">
    <w:name w:val="Bold and Italics"/>
    <w:qFormat/>
    <w:rsid w:val="008D0DF7"/>
    <w:rPr>
      <w:b/>
      <w:i/>
      <w:u w:val="none"/>
    </w:rPr>
  </w:style>
  <w:style w:type="paragraph" w:styleId="BalloonText">
    <w:name w:val="Balloon Text"/>
    <w:basedOn w:val="Normal"/>
    <w:link w:val="BalloonTextChar"/>
    <w:rsid w:val="008D0DF7"/>
    <w:rPr>
      <w:rFonts w:ascii="Tahoma" w:hAnsi="Tahoma" w:cs="Tahoma"/>
      <w:sz w:val="16"/>
      <w:szCs w:val="16"/>
    </w:rPr>
  </w:style>
  <w:style w:type="character" w:customStyle="1" w:styleId="BalloonTextChar">
    <w:name w:val="Balloon Text Char"/>
    <w:basedOn w:val="DefaultParagraphFont"/>
    <w:link w:val="BalloonText"/>
    <w:rsid w:val="008D0D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0D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0D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0DF7"/>
    <w:rPr>
      <w:b/>
      <w:color w:val="660033"/>
      <w:spacing w:val="0"/>
    </w:rPr>
  </w:style>
  <w:style w:type="paragraph" w:customStyle="1" w:styleId="Nameditemlist">
    <w:name w:val="Named item list"/>
    <w:basedOn w:val="BodyText"/>
    <w:qFormat/>
    <w:rsid w:val="008D0DF7"/>
    <w:pPr>
      <w:tabs>
        <w:tab w:val="left" w:pos="2835"/>
      </w:tabs>
      <w:ind w:left="2835" w:hanging="2835"/>
    </w:pPr>
  </w:style>
  <w:style w:type="paragraph" w:customStyle="1" w:styleId="BodyTextnopadding">
    <w:name w:val="Body Text no padding"/>
    <w:basedOn w:val="BodyText"/>
    <w:qFormat/>
    <w:rsid w:val="008D0DF7"/>
    <w:pPr>
      <w:spacing w:before="0" w:after="0"/>
    </w:pPr>
  </w:style>
  <w:style w:type="paragraph" w:customStyle="1" w:styleId="BodyTextBold">
    <w:name w:val="Body Text Bold"/>
    <w:basedOn w:val="BodyText"/>
    <w:qFormat/>
    <w:rsid w:val="008D0DF7"/>
    <w:rPr>
      <w:b/>
    </w:rPr>
  </w:style>
  <w:style w:type="character" w:styleId="Hyperlink">
    <w:name w:val="Hyperlink"/>
    <w:basedOn w:val="DefaultParagraphFont"/>
    <w:uiPriority w:val="99"/>
    <w:unhideWhenUsed/>
    <w:rsid w:val="00761C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783</Words>
  <Characters>5346</Characters>
  <Application>Microsoft Office Word</Application>
  <DocSecurity>0</DocSecurity>
  <Lines>124</Lines>
  <Paragraphs>95</Paragraphs>
  <ScaleCrop>false</ScaleCrop>
  <Company>Author-it Software Corporation Ltd.</Company>
  <LinksUpToDate>false</LinksUpToDate>
  <CharactersWithSpaces>6034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TLIF0006 Administer a fatigue risk management system</dc:title>
  <dc:subject>Approved</dc:subject>
  <dc:creator>Industry Skills Australia</dc:creator>
  <cp:keywords>Release: 1</cp:keywords>
  <dc:description>Review Date: 12 April 2008</dc:description>
  <cp:lastModifiedBy>HSD_TPCMSd.prod</cp:lastModifiedBy>
  <cp:revision>3</cp:revision>
  <dcterms:created xsi:type="dcterms:W3CDTF">2024-07-12T07:39:00Z</dcterms:created>
  <dcterms:modified xsi:type="dcterms:W3CDTF">2024-07-12T07:39:00Z</dcterms:modified>
</cp:coreProperties>
</file>