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435" w:rsidP="00F91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TLIF0004 Work effectively in a train-driving environment</w:t>
      </w:r>
      <w:r>
        <w:fldChar w:fldCharType="end"/>
      </w:r>
    </w:p>
    <w:p w:rsidR="00F91435" w:rsidP="00F91435">
      <w:pPr>
        <w:pStyle w:val="Version"/>
        <w:sectPr w:rsidSect="00E97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7FE8" w:rsidP="00E97FE8">
      <w:pPr>
        <w:pStyle w:val="SuperHeading"/>
      </w:pPr>
      <w:r w:rsidRPr="00E97FE8">
        <w:t>TLIF0004 Work effectively in a train-driving environment</w:t>
      </w:r>
    </w:p>
    <w:p w:rsidR="00000000" w:rsidRPr="00E97FE8" w:rsidP="00E97FE8">
      <w:pPr>
        <w:pStyle w:val="Heading1"/>
      </w:pPr>
      <w:bookmarkStart w:id="1" w:name="O_1196154"/>
      <w:bookmarkEnd w:id="1"/>
      <w:r w:rsidRPr="00E97F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Release 2</w:t>
            </w:r>
            <w:r w:rsidRPr="00E97FE8">
              <w:t>. This is the second release of this unit of competency in the TLI Transport and Logistics Training Package:</w:t>
            </w:r>
          </w:p>
          <w:p w:rsidR="00000000" w:rsidRPr="00E97FE8" w:rsidP="00E97FE8">
            <w:pPr>
              <w:pStyle w:val="ListBullet"/>
            </w:pPr>
            <w:r w:rsidRPr="00E97FE8">
              <w:t>Minor statement changes in Performance Evidence</w:t>
            </w:r>
          </w:p>
          <w:p w:rsidR="00000000" w:rsidRPr="00E97FE8" w:rsidP="00E97FE8">
            <w:pPr>
              <w:pStyle w:val="ListBullet"/>
            </w:pPr>
            <w:r w:rsidRPr="00E97FE8">
              <w:t>Minor statement changes in Knowledge Evidence</w:t>
            </w:r>
          </w:p>
          <w:p w:rsidR="00000000" w:rsidP="00E97FE8">
            <w:pPr>
              <w:pStyle w:val="ListBullet"/>
              <w:rPr>
                <w:lang w:val="en-NZ"/>
              </w:rPr>
            </w:pPr>
            <w:r w:rsidRPr="00E97FE8">
              <w:t>Mino</w:t>
            </w:r>
            <w:r w:rsidRPr="00E97FE8">
              <w:t>r statement changes in Assessment Conditions.</w:t>
            </w:r>
          </w:p>
        </w:tc>
      </w:tr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Release 1</w:t>
            </w:r>
            <w:r w:rsidRPr="00E97FE8">
              <w:t>. This is the first release of this unit of competency in the TLI Transport and Logistics Training Package.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2" w:name="O_1196153"/>
      <w:bookmarkEnd w:id="2"/>
      <w:r w:rsidRPr="00E97F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This unit involves the skills and knowledge required to w</w:t>
            </w:r>
            <w:r w:rsidRPr="00E97FE8">
              <w:t xml:space="preserve">ork effectively in a train-driving environment. </w:t>
            </w:r>
          </w:p>
          <w:p w:rsidR="00000000" w:rsidRPr="00E97FE8" w:rsidP="00E97FE8">
            <w:pPr>
              <w:pStyle w:val="BodyText"/>
            </w:pPr>
            <w:r w:rsidRPr="00E97FE8">
              <w:t>It includes monitoring own health and wellbeing, maintaining situational awareness, maintaining workplace safety, mitigating threats and errors, and maintaining currency of industry skills and knowledge.</w:t>
            </w:r>
          </w:p>
          <w:p w:rsidR="00000000" w:rsidRPr="00E97FE8" w:rsidP="00E97FE8">
            <w:pPr>
              <w:pStyle w:val="BodyText"/>
            </w:pPr>
            <w:r w:rsidRPr="00E97FE8">
              <w:t>This activity applies to individuals who are engaged in operating rolling stock in the work environment and who are responsible for their own work. This may be in a defined context under direct supervision and/or with some individual responsibility.</w:t>
            </w:r>
          </w:p>
          <w:p w:rsidR="00000000" w:rsidRPr="00E97FE8" w:rsidP="00E97FE8">
            <w:pPr>
              <w:pStyle w:val="BodyText"/>
            </w:pPr>
            <w:r w:rsidRPr="00E97FE8">
              <w:t>No lic</w:t>
            </w:r>
            <w:r w:rsidRPr="00E97FE8">
              <w:t>ensing, legislative or certification requirements apply to this unit at the time of publication.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3" w:name="O_1196152"/>
      <w:bookmarkEnd w:id="3"/>
      <w:r w:rsidRPr="00E97F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Not applicable.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4" w:name="O_1196151"/>
      <w:bookmarkEnd w:id="4"/>
      <w:r w:rsidRPr="00E97F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F – Safety Management.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5" w:name="O_1196150"/>
      <w:bookmarkEnd w:id="5"/>
      <w:r w:rsidRPr="00E97F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Rail sector.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6" w:name="O_1196149"/>
      <w:bookmarkEnd w:id="6"/>
      <w:r w:rsidRPr="00E97F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 xml:space="preserve">Elements describe the </w:t>
            </w:r>
            <w:r w:rsidRPr="00E97FE8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 xml:space="preserve">Performance criteria describe the performance needed to demonstrate </w:t>
            </w:r>
            <w:r w:rsidRPr="00E97FE8">
              <w:t>achievement of the element.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Monitor own health and wellbeing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 xml:space="preserve">Health </w:t>
            </w:r>
            <w:r w:rsidRPr="00E97FE8">
              <w:t>and wellbeing issues that impact on train driving are identified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Own health and wellbeing are assessed against identified issues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Potential for own health and wellbeing to deteriorate in relation to identified issues is determined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Actions are taken to improve own health and wellbeing status in relation to identified issues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Locomotive cab is set up for individual comfort and optimum safety levels are ensured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 xml:space="preserve">Manage tasks and workload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Work activities are planned for the completion of tasks in accordance with organisational requirements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Changes to workplace environment and related risks are monitored and managed to ensure a safe outcome to workplace operations in accordance with g</w:t>
            </w:r>
            <w:r w:rsidRPr="00E97FE8">
              <w:t xml:space="preserve">uidelines, directions or instructions 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Attention is focused and distractions are managed in normal and high workload situations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Activities are modified depending on work situations and contingencies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Tasks, activi</w:t>
            </w:r>
            <w:r w:rsidRPr="00E97FE8">
              <w:t>ties and information gathering are prioritised and scheduled in accordance with their importance and need for actions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Maintain situational awareness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Factors that impact on safe train operations are continuously monitored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Situational awareness is applied through effective visual scans, use of communication systems, use of rail traffic information and use of system of safeworking in accordance with workplace procedures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 xml:space="preserve">Information that impacts on the operation of the </w:t>
            </w:r>
            <w:r w:rsidRPr="00E97FE8">
              <w:t>train is continually gathered and interpreted to determine whether the current situation matches the expected state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Changes in the current situation are anticipated and actions are taken to correct or mitigate any negative impacts of these anticipat</w:t>
            </w:r>
            <w:r w:rsidRPr="00E97FE8">
              <w:t>ed changes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Recognise, manage and mitigate threats and errors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Relevant human limitations/conditions of self and others are recognised as threats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Strategies for reducing the frequency of errors are implemented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Relevant environmental and/or operational threats and errors are identified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4.4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Operating procedures are applied to avoid identified operational threats and errors occurring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rPr>
                <w:rStyle w:val="SpecialBold"/>
              </w:rPr>
              <w:t>Maintain currency of industry skills and knowledge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New and altered policies, processes and procedures are read and implemented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t>Clarification is sought from relevant personnel about anything that is not clear in relation to policies, processes and procedures</w:t>
            </w:r>
          </w:p>
        </w:tc>
      </w:tr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E8">
            <w:pPr>
              <w:pStyle w:val="BodyText"/>
              <w:rPr>
                <w:lang w:val="en-NZ"/>
              </w:rPr>
            </w:pPr>
            <w:r w:rsidRPr="00E97FE8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Feedback regarding policies, processes and procedures is provided to relevant personnel as required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7" w:name="O_1196148"/>
      <w:bookmarkEnd w:id="7"/>
      <w:r w:rsidRPr="00E97FE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97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Foundation skills essential to performance are explicit in the performance criteria of this unit of competency.</w:t>
            </w:r>
          </w:p>
        </w:tc>
      </w:tr>
    </w:tbl>
    <w:p w:rsidR="00F91435" w:rsidP="00E97FE8">
      <w:pPr>
        <w:pStyle w:val="BodyText"/>
      </w:pPr>
    </w:p>
    <w:p w:rsidR="00F91435" w:rsidP="00E97FE8">
      <w:pPr>
        <w:pStyle w:val="BodyText"/>
      </w:pPr>
    </w:p>
    <w:p w:rsidR="00000000" w:rsidRPr="00E97FE8" w:rsidP="00E97FE8">
      <w:pPr>
        <w:pStyle w:val="Heading1"/>
      </w:pPr>
      <w:bookmarkStart w:id="8" w:name="O_1196147"/>
      <w:bookmarkEnd w:id="8"/>
      <w:r w:rsidRPr="00E97F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Range is restricted to essential operating conditions and any other variables essential to the work environment.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9" w:name="O_1196146"/>
      <w:bookmarkEnd w:id="9"/>
      <w:r w:rsidRPr="00E97F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E8" w:rsidP="00E97FE8">
            <w:pPr>
              <w:pStyle w:val="BodyText"/>
            </w:pPr>
            <w:r w:rsidRPr="00E97FE8">
              <w:t>This unit replaces but is not equivalent to TLIF4111A Wo</w:t>
            </w:r>
            <w:r w:rsidRPr="00E97FE8">
              <w:t>rk effectively in a train-driving environment.</w:t>
            </w:r>
          </w:p>
        </w:tc>
      </w:tr>
    </w:tbl>
    <w:p w:rsidR="00F91435" w:rsidP="00E97FE8">
      <w:pPr>
        <w:pStyle w:val="NoPaddingFontSize1"/>
      </w:pPr>
    </w:p>
    <w:p w:rsidR="00F91435" w:rsidP="00E97FE8">
      <w:pPr>
        <w:pStyle w:val="NoPaddingFontSize1"/>
      </w:pPr>
    </w:p>
    <w:p w:rsidR="00000000" w:rsidRPr="00E97FE8" w:rsidP="00E97FE8">
      <w:pPr>
        <w:pStyle w:val="Heading1"/>
      </w:pPr>
      <w:bookmarkStart w:id="10" w:name="O_1196155"/>
      <w:bookmarkEnd w:id="10"/>
      <w:r w:rsidRPr="00E97FE8">
        <w:t>Links</w:t>
      </w:r>
    </w:p>
    <w:p w:rsidR="00000000" w:rsidRPr="00E97FE8" w:rsidP="00F91435">
      <w:pPr>
        <w:pStyle w:val="BodyText"/>
      </w:pPr>
      <w:r w:rsidRPr="00E97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46B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97FE8" w:rsidP="00E97FE8"/>
    <w:sectPr w:rsidSect="00E97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E8" w:rsidRPr="00F91435" w:rsidP="00F91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35" w:rsidP="00E9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435" w:rsidP="00E9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1435" w:rsidP="00E97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FE8" w:rsidRPr="00F91435" w:rsidP="00F91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435" w:rsidRPr="002D2AF8" w:rsidP="00E9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TLIF0004 Work effectively in a train-driving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91435" w:rsidP="00E97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45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64B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FE8"/>
  </w:style>
  <w:style w:type="character" w:customStyle="1" w:styleId="Heading1Char">
    <w:name w:val="Heading 1 Char"/>
    <w:basedOn w:val="DefaultParagraphFont"/>
    <w:link w:val="Heading1"/>
    <w:rsid w:val="00E97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F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FE8"/>
    <w:rPr>
      <w:b/>
      <w:spacing w:val="0"/>
    </w:rPr>
  </w:style>
  <w:style w:type="paragraph" w:customStyle="1" w:styleId="SuperHeading">
    <w:name w:val="SuperHeading"/>
    <w:basedOn w:val="Normal"/>
    <w:rsid w:val="00E97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7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FE8"/>
    <w:rPr>
      <w:i/>
    </w:rPr>
  </w:style>
  <w:style w:type="paragraph" w:styleId="Caption">
    <w:name w:val="caption"/>
    <w:basedOn w:val="BodyText"/>
    <w:next w:val="Normal"/>
    <w:qFormat/>
    <w:rsid w:val="00E97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FE8"/>
  </w:style>
  <w:style w:type="paragraph" w:styleId="TableofFigures">
    <w:name w:val="table of figures"/>
    <w:basedOn w:val="Normal"/>
    <w:next w:val="Normal"/>
    <w:semiHidden/>
    <w:rsid w:val="00E97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FE8"/>
    <w:rPr>
      <w:rFonts w:ascii="Wingdings" w:hAnsi="Wingdings"/>
    </w:rPr>
  </w:style>
  <w:style w:type="paragraph" w:customStyle="1" w:styleId="TableHeading">
    <w:name w:val="Table Heading"/>
    <w:basedOn w:val="HeadingBase"/>
    <w:rsid w:val="00E97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FE8"/>
    <w:rPr>
      <w:color w:val="0033CC"/>
      <w:u w:val="none"/>
    </w:rPr>
  </w:style>
  <w:style w:type="paragraph" w:customStyle="1" w:styleId="BodyTextRight">
    <w:name w:val="Body Text Right"/>
    <w:basedOn w:val="BodyText"/>
    <w:rsid w:val="00E97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FE8"/>
    <w:rPr>
      <w:sz w:val="32"/>
    </w:rPr>
  </w:style>
  <w:style w:type="paragraph" w:customStyle="1" w:styleId="HeadingProcedure">
    <w:name w:val="Heading Procedure"/>
    <w:basedOn w:val="HeadingBase"/>
    <w:next w:val="Normal"/>
    <w:rsid w:val="00E97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FE8"/>
    <w:pPr>
      <w:spacing w:before="60" w:after="60"/>
    </w:pPr>
  </w:style>
  <w:style w:type="paragraph" w:styleId="ListContinue">
    <w:name w:val="List Continue"/>
    <w:basedOn w:val="List"/>
    <w:rsid w:val="00E97FE8"/>
    <w:pPr>
      <w:ind w:firstLine="0"/>
    </w:pPr>
  </w:style>
  <w:style w:type="paragraph" w:customStyle="1" w:styleId="ListNote">
    <w:name w:val="List Note"/>
    <w:basedOn w:val="List"/>
    <w:rsid w:val="00E97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FE8"/>
    <w:rPr>
      <w:rFonts w:ascii="Courier New" w:hAnsi="Courier New"/>
    </w:rPr>
  </w:style>
  <w:style w:type="paragraph" w:customStyle="1" w:styleId="NoteBullet">
    <w:name w:val="Note Bullet"/>
    <w:basedOn w:val="Note"/>
    <w:rsid w:val="00E97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FE8"/>
    <w:rPr>
      <w:b/>
      <w:smallCaps/>
    </w:rPr>
  </w:style>
  <w:style w:type="paragraph" w:customStyle="1" w:styleId="TableListNumber">
    <w:name w:val="Table List Number"/>
    <w:basedOn w:val="ListNumber"/>
    <w:rsid w:val="00E97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FE8"/>
    <w:pPr>
      <w:numPr>
        <w:numId w:val="8"/>
      </w:numPr>
    </w:pPr>
  </w:style>
  <w:style w:type="paragraph" w:customStyle="1" w:styleId="ListAlpha2">
    <w:name w:val="List Alpha 2"/>
    <w:basedOn w:val="List2"/>
    <w:rsid w:val="00E97FE8"/>
    <w:pPr>
      <w:numPr>
        <w:numId w:val="7"/>
      </w:numPr>
    </w:pPr>
  </w:style>
  <w:style w:type="paragraph" w:styleId="List2">
    <w:name w:val="List 2"/>
    <w:basedOn w:val="BodyText"/>
    <w:rsid w:val="00E97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FE8"/>
    <w:pPr>
      <w:numPr>
        <w:numId w:val="3"/>
      </w:numPr>
    </w:pPr>
  </w:style>
  <w:style w:type="paragraph" w:styleId="ListContinue2">
    <w:name w:val="List Continue 2"/>
    <w:basedOn w:val="List2"/>
    <w:rsid w:val="00E97FE8"/>
    <w:pPr>
      <w:ind w:firstLine="0"/>
    </w:pPr>
  </w:style>
  <w:style w:type="paragraph" w:styleId="ListContinue3">
    <w:name w:val="List Continue 3"/>
    <w:basedOn w:val="List3"/>
    <w:rsid w:val="00E97FE8"/>
    <w:pPr>
      <w:ind w:left="1021" w:firstLine="0"/>
    </w:pPr>
  </w:style>
  <w:style w:type="paragraph" w:styleId="ListContinue4">
    <w:name w:val="List Continue 4"/>
    <w:basedOn w:val="List4"/>
    <w:rsid w:val="00E97FE8"/>
    <w:pPr>
      <w:ind w:firstLine="0"/>
    </w:pPr>
  </w:style>
  <w:style w:type="paragraph" w:styleId="ListContinue5">
    <w:name w:val="List Continue 5"/>
    <w:basedOn w:val="List5"/>
    <w:rsid w:val="00E97FE8"/>
    <w:pPr>
      <w:ind w:firstLine="0"/>
    </w:pPr>
  </w:style>
  <w:style w:type="paragraph" w:styleId="ListNumber3">
    <w:name w:val="List Number 3"/>
    <w:basedOn w:val="List3"/>
    <w:rsid w:val="00E97FE8"/>
    <w:pPr>
      <w:numPr>
        <w:numId w:val="4"/>
      </w:numPr>
    </w:pPr>
  </w:style>
  <w:style w:type="paragraph" w:styleId="ListNumber4">
    <w:name w:val="List Number 4"/>
    <w:basedOn w:val="List4"/>
    <w:rsid w:val="00E97FE8"/>
    <w:pPr>
      <w:numPr>
        <w:numId w:val="5"/>
      </w:numPr>
    </w:pPr>
  </w:style>
  <w:style w:type="paragraph" w:styleId="ListNumber5">
    <w:name w:val="List Number 5"/>
    <w:basedOn w:val="List5"/>
    <w:rsid w:val="00E97FE8"/>
    <w:pPr>
      <w:numPr>
        <w:numId w:val="6"/>
      </w:numPr>
    </w:pPr>
  </w:style>
  <w:style w:type="paragraph" w:styleId="BlockText">
    <w:name w:val="Block Text"/>
    <w:basedOn w:val="Normal"/>
    <w:rsid w:val="00E97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FE8"/>
    <w:rPr>
      <w:sz w:val="16"/>
      <w:vertAlign w:val="superscript"/>
    </w:rPr>
  </w:style>
  <w:style w:type="character" w:customStyle="1" w:styleId="Symbols">
    <w:name w:val="Symbols"/>
    <w:basedOn w:val="DefaultParagraphFont"/>
    <w:rsid w:val="00E97FE8"/>
    <w:rPr>
      <w:rFonts w:ascii="Symbol" w:hAnsi="Symbol"/>
    </w:rPr>
  </w:style>
  <w:style w:type="character" w:customStyle="1" w:styleId="MenuOptions">
    <w:name w:val="Menu Options"/>
    <w:basedOn w:val="DefaultParagraphFont"/>
    <w:rsid w:val="00E97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FE8"/>
    <w:rPr>
      <w:b/>
    </w:rPr>
  </w:style>
  <w:style w:type="character" w:customStyle="1" w:styleId="Underlined">
    <w:name w:val="Underlined"/>
    <w:basedOn w:val="DefaultParagraphFont"/>
    <w:rsid w:val="00E97FE8"/>
    <w:rPr>
      <w:u w:val="single"/>
    </w:rPr>
  </w:style>
  <w:style w:type="paragraph" w:customStyle="1" w:styleId="TableBodyTextRight">
    <w:name w:val="Table Body Text Right"/>
    <w:basedOn w:val="TableBodyText"/>
    <w:rsid w:val="00E97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FE8"/>
    <w:rPr>
      <w:sz w:val="18"/>
    </w:rPr>
  </w:style>
  <w:style w:type="paragraph" w:customStyle="1" w:styleId="BodySmallRight">
    <w:name w:val="Body Small Right"/>
    <w:basedOn w:val="BodyTextRight"/>
    <w:rsid w:val="00E97FE8"/>
    <w:rPr>
      <w:sz w:val="18"/>
      <w:szCs w:val="18"/>
    </w:rPr>
  </w:style>
  <w:style w:type="paragraph" w:customStyle="1" w:styleId="MarginEdition">
    <w:name w:val="Margin Edition"/>
    <w:basedOn w:val="MarginNote"/>
    <w:rsid w:val="00E97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FE8"/>
    <w:rPr>
      <w:sz w:val="2"/>
      <w:szCs w:val="2"/>
    </w:rPr>
  </w:style>
  <w:style w:type="character" w:customStyle="1" w:styleId="Small">
    <w:name w:val="Small"/>
    <w:basedOn w:val="DefaultParagraphFont"/>
    <w:rsid w:val="00E97FE8"/>
    <w:rPr>
      <w:sz w:val="16"/>
    </w:rPr>
  </w:style>
  <w:style w:type="paragraph" w:customStyle="1" w:styleId="WideTable">
    <w:name w:val="Wide Table"/>
    <w:basedOn w:val="Normal"/>
    <w:rsid w:val="00E97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FE8"/>
  </w:style>
  <w:style w:type="paragraph" w:styleId="Quote">
    <w:name w:val="Quote"/>
    <w:basedOn w:val="Heading1"/>
    <w:link w:val="QuoteChar"/>
    <w:qFormat/>
    <w:rsid w:val="00E97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FE8"/>
    <w:pPr>
      <w:pageBreakBefore/>
    </w:pPr>
  </w:style>
  <w:style w:type="paragraph" w:customStyle="1" w:styleId="Border">
    <w:name w:val="Border"/>
    <w:basedOn w:val="Normal"/>
    <w:qFormat/>
    <w:rsid w:val="00E97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FE8"/>
    <w:rPr>
      <w:u w:val="single"/>
    </w:rPr>
  </w:style>
  <w:style w:type="character" w:customStyle="1" w:styleId="BoldandItalics">
    <w:name w:val="Bold and Italics"/>
    <w:qFormat/>
    <w:rsid w:val="00E97FE8"/>
    <w:rPr>
      <w:b/>
      <w:i/>
      <w:u w:val="none"/>
    </w:rPr>
  </w:style>
  <w:style w:type="paragraph" w:styleId="BalloonText">
    <w:name w:val="Balloon Text"/>
    <w:basedOn w:val="Normal"/>
    <w:link w:val="BalloonTextChar"/>
    <w:rsid w:val="00E97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FE8"/>
    <w:pPr>
      <w:spacing w:before="0" w:after="0"/>
    </w:pPr>
  </w:style>
  <w:style w:type="paragraph" w:customStyle="1" w:styleId="BodyTextBold">
    <w:name w:val="Body Text Bold"/>
    <w:basedOn w:val="BodyText"/>
    <w:qFormat/>
    <w:rsid w:val="00E97FE8"/>
    <w:rPr>
      <w:b/>
    </w:rPr>
  </w:style>
  <w:style w:type="character" w:styleId="Hyperlink">
    <w:name w:val="Hyperlink"/>
    <w:basedOn w:val="DefaultParagraphFont"/>
    <w:uiPriority w:val="99"/>
    <w:unhideWhenUsed/>
    <w:rsid w:val="00F91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4083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TLIF0004 Work effectively in a train-driving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