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057" w:rsidP="00FD70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TLIF0003 Develop and implement policies and procedures to ensure chain of responsibility compliance</w:t>
      </w:r>
      <w:r>
        <w:fldChar w:fldCharType="end"/>
      </w:r>
    </w:p>
    <w:p w:rsidR="00FD7057" w:rsidP="00FD7057">
      <w:pPr>
        <w:pStyle w:val="Version"/>
        <w:sectPr w:rsidSect="00415C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C54" w:rsidP="00415C54">
      <w:pPr>
        <w:pStyle w:val="SuperHeading"/>
      </w:pPr>
      <w:r w:rsidRPr="00415C54">
        <w:t>TLIF0003 Develop and implement policies and procedures to ensure chain of responsibility compliance</w:t>
      </w:r>
    </w:p>
    <w:p w:rsidR="00000000" w:rsidRPr="00415C54" w:rsidP="00415C54">
      <w:pPr>
        <w:pStyle w:val="Heading1"/>
      </w:pPr>
      <w:bookmarkStart w:id="1" w:name="O_740409"/>
      <w:bookmarkEnd w:id="1"/>
      <w:r w:rsidRPr="00415C54">
        <w:t>Modification History</w:t>
      </w:r>
    </w:p>
    <w:p w:rsidR="00FD7057" w:rsidP="00FD7057">
      <w:pPr>
        <w:pStyle w:val="BodyText"/>
      </w:pPr>
      <w:r w:rsidRPr="00415C54">
        <w:t>Release 1. This is the first release of this unit of competency in the TLI Transport and Logistics Training Package.</w:t>
      </w:r>
    </w:p>
    <w:p w:rsidR="00000000" w:rsidRPr="00415C54" w:rsidP="00415C54">
      <w:pPr>
        <w:pStyle w:val="Heading1"/>
      </w:pPr>
      <w:bookmarkStart w:id="2" w:name="O_740410"/>
      <w:bookmarkEnd w:id="2"/>
      <w:r w:rsidRPr="00415C54">
        <w:t>Application</w:t>
      </w:r>
    </w:p>
    <w:p w:rsidR="00000000" w:rsidRPr="00415C54" w:rsidP="00FD7057">
      <w:pPr>
        <w:pStyle w:val="BodyText"/>
      </w:pPr>
      <w:r w:rsidRPr="00415C54">
        <w:t>This unit involves the skills and knowledge required to ensure workplace compliance with chain of responsibility legislation in relation to heavy vehicle laws and regulations.</w:t>
      </w:r>
    </w:p>
    <w:p w:rsidR="00000000" w:rsidRPr="00415C54" w:rsidP="00FD7057">
      <w:pPr>
        <w:pStyle w:val="BodyText"/>
      </w:pPr>
      <w:r w:rsidRPr="00415C54">
        <w:t xml:space="preserve">It includes explaining the chain of responsibility </w:t>
      </w:r>
      <w:r w:rsidRPr="00415C54">
        <w:t xml:space="preserve">features in the Heavy Vehicle National Law (HVNL) and regulations or applicable state/territory law and regulations. </w:t>
      </w:r>
    </w:p>
    <w:p w:rsidR="00000000" w:rsidRPr="00415C54" w:rsidP="00FD7057">
      <w:pPr>
        <w:pStyle w:val="BodyText"/>
      </w:pPr>
      <w:r w:rsidRPr="00415C54">
        <w:t>It also involves ability to identify the requirements for and to develop, implement and review, workplace policies and procedures for chai</w:t>
      </w:r>
      <w:r w:rsidRPr="00415C54">
        <w:t xml:space="preserve">n of responsibility. </w:t>
      </w:r>
    </w:p>
    <w:p w:rsidR="00000000" w:rsidRPr="00415C54" w:rsidP="00FD7057">
      <w:pPr>
        <w:pStyle w:val="BodyText"/>
      </w:pPr>
      <w:r w:rsidRPr="00415C54">
        <w:t>Work is performed under minimum supervision generally as a manager.</w:t>
      </w:r>
    </w:p>
    <w:p w:rsidR="00FD7057" w:rsidP="00FD7057">
      <w:pPr>
        <w:pStyle w:val="BodyText"/>
      </w:pPr>
      <w:r w:rsidRPr="00415C54">
        <w:t>No licensing, legislative or certification requirements apply to this unit at the time of publication.</w:t>
      </w:r>
    </w:p>
    <w:p w:rsidR="00000000" w:rsidRPr="00415C54" w:rsidP="00415C54">
      <w:pPr>
        <w:pStyle w:val="Heading1"/>
      </w:pPr>
      <w:bookmarkStart w:id="3" w:name="O_740411"/>
      <w:bookmarkEnd w:id="3"/>
      <w:r w:rsidRPr="00415C54">
        <w:t>Pre-requisite Unit</w:t>
      </w:r>
    </w:p>
    <w:p w:rsidR="00000000" w:rsidRPr="00415C54" w:rsidP="00FD7057">
      <w:pPr>
        <w:pStyle w:val="BodyText"/>
      </w:pPr>
      <w:r w:rsidRPr="00415C54">
        <w:t>Not applicable.</w:t>
      </w:r>
    </w:p>
    <w:p w:rsidR="00000000" w:rsidRPr="00415C54" w:rsidP="00415C54">
      <w:pPr>
        <w:pStyle w:val="Heading1"/>
      </w:pPr>
      <w:bookmarkStart w:id="4" w:name="O_740412"/>
      <w:bookmarkEnd w:id="4"/>
      <w:r w:rsidRPr="00415C54">
        <w:t>Competency Field</w:t>
      </w:r>
    </w:p>
    <w:p w:rsidR="00000000" w:rsidRPr="00415C54" w:rsidP="00FD7057">
      <w:pPr>
        <w:pStyle w:val="BodyText"/>
      </w:pPr>
      <w:r w:rsidRPr="00415C54">
        <w:t>F – Safety Management</w:t>
      </w:r>
    </w:p>
    <w:p w:rsidR="00000000" w:rsidRPr="00415C54" w:rsidP="00415C54">
      <w:pPr>
        <w:pStyle w:val="Heading1"/>
      </w:pPr>
      <w:bookmarkStart w:id="5" w:name="O_740413"/>
      <w:bookmarkEnd w:id="5"/>
      <w:r w:rsidRPr="00415C54">
        <w:t>Unit Sector</w:t>
      </w:r>
    </w:p>
    <w:p w:rsidR="00000000" w:rsidRPr="00415C54" w:rsidP="00FD7057">
      <w:pPr>
        <w:pStyle w:val="BodyText"/>
      </w:pPr>
      <w:r w:rsidRPr="00415C54">
        <w:t>Not applicable.</w:t>
      </w:r>
    </w:p>
    <w:p w:rsidR="00000000" w:rsidRPr="00415C54" w:rsidP="00415C54">
      <w:pPr>
        <w:pStyle w:val="Heading1"/>
      </w:pPr>
      <w:bookmarkStart w:id="6" w:name="O_740414"/>
      <w:bookmarkEnd w:id="6"/>
      <w:r w:rsidRPr="00415C5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2"/>
        <w:gridCol w:w="1"/>
        <w:gridCol w:w="528"/>
        <w:gridCol w:w="6657"/>
      </w:tblGrid>
      <w:tr w:rsidTr="00FD7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C54" w:rsidP="00415C54">
            <w:pPr>
              <w:pStyle w:val="BodyText"/>
            </w:pPr>
            <w:r w:rsidRPr="00415C5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rPr>
                <w:rStyle w:val="SpecialBold"/>
              </w:rPr>
              <w:t>PERFORMANCE CRITERIA</w:t>
            </w:r>
          </w:p>
        </w:tc>
      </w:tr>
      <w:tr w:rsidTr="00FD7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Performance criteria describe the performance needed to demonstrate achievement of the element.</w:t>
            </w:r>
          </w:p>
        </w:tc>
      </w:tr>
      <w:tr w:rsidTr="00FD7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C54" w:rsidP="00415C54">
            <w:pPr>
              <w:pStyle w:val="BodyText"/>
            </w:pPr>
            <w:r w:rsidRPr="00415C5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rPr>
                <w:rStyle w:val="SpecialBold"/>
              </w:rPr>
              <w:t xml:space="preserve">Explain chain of </w:t>
            </w:r>
            <w:r w:rsidRPr="00415C54">
              <w:rPr>
                <w:rStyle w:val="SpecialBold"/>
              </w:rPr>
              <w:t xml:space="preserve">responsibility features in the Heavy Vehicle National Law and regulations or applicable state/ territory law and regulations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Principal</w:t>
            </w:r>
            <w:r w:rsidRPr="00415C54">
              <w:t xml:space="preserve"> obligations relating to chain of responsibility in the Heavy Vehicle National Law </w:t>
            </w:r>
            <w:r w:rsidRPr="00415C54">
              <w:t>(HVNL) and regulations or applicable state/territory law and regulations are identified</w:t>
            </w:r>
          </w:p>
        </w:tc>
      </w:tr>
      <w:tr w:rsidTr="00FD7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Principal duties of each party in the chain of responsibility as outlined in t</w:t>
            </w:r>
            <w:r w:rsidRPr="00415C54">
              <w:t>he HVNL and regulations or applicable state/territory law and regulations are explained</w:t>
            </w:r>
          </w:p>
        </w:tc>
      </w:tr>
      <w:tr w:rsidTr="00FD7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 xml:space="preserve">Breaches and penalties for each party for failure to comply with chain of responsibility as outlined in the HVNL and regulations or applicable </w:t>
            </w:r>
            <w:r w:rsidRPr="00415C54">
              <w:t>state/territory law and regulations are explained</w:t>
            </w:r>
          </w:p>
        </w:tc>
      </w:tr>
      <w:tr w:rsidTr="00FD7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Reasonable steps to be followed by each party to comply with chain of responsibility as outlined in the HVNL and regulations or applicable state/territory law and regulations are explained</w:t>
            </w:r>
          </w:p>
        </w:tc>
      </w:tr>
      <w:tr w:rsidTr="00FD7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C54" w:rsidP="00415C54">
            <w:pPr>
              <w:pStyle w:val="BodyText"/>
            </w:pPr>
            <w:r w:rsidRPr="00415C5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rPr>
                <w:rStyle w:val="SpecialBold"/>
              </w:rPr>
              <w:t>Develop</w:t>
            </w:r>
            <w:r w:rsidRPr="00415C54">
              <w:rPr>
                <w:rStyle w:val="SpecialBold"/>
              </w:rPr>
              <w:t xml:space="preserve"> and implement workplace policies and procedures for chain of responsibility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 xml:space="preserve">Activities relating to chain of responsibility in the HVNL and regulations or applicable state/territory law and regulations, are embedded into workplace policies, procedures </w:t>
            </w:r>
            <w:r w:rsidRPr="00415C54">
              <w:t>and recording requirements in consultation with relevant stakeholders</w:t>
            </w:r>
          </w:p>
        </w:tc>
      </w:tr>
      <w:tr w:rsidTr="00FD7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Policies, procedures and recording requirements relating to chain of responsibility are implemented in the workplace</w:t>
            </w:r>
          </w:p>
        </w:tc>
      </w:tr>
      <w:tr w:rsidTr="00FD7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C54" w:rsidP="00415C54">
            <w:pPr>
              <w:pStyle w:val="BodyText"/>
            </w:pPr>
            <w:r w:rsidRPr="00415C5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rPr>
                <w:rStyle w:val="SpecialBold"/>
              </w:rPr>
              <w:t>Review wo</w:t>
            </w:r>
            <w:r w:rsidRPr="00415C54">
              <w:rPr>
                <w:rStyle w:val="SpecialBold"/>
              </w:rPr>
              <w:t xml:space="preserve">rkplace policies and procedures relating to chain of responsibility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Workplace policies and procedures relating to chain of responsibility are monitored and reviewed</w:t>
            </w:r>
          </w:p>
        </w:tc>
      </w:tr>
      <w:tr w:rsidTr="00FD7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Records and information relevant to chain of responsibility are analysed and re</w:t>
            </w:r>
            <w:r w:rsidRPr="00415C54">
              <w:t>viewed</w:t>
            </w:r>
          </w:p>
        </w:tc>
      </w:tr>
      <w:tr w:rsidTr="00FD70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Changes and amendments are made to policies, procedures and recording requirements to maintain chain of responsibility compliance</w:t>
            </w:r>
          </w:p>
        </w:tc>
      </w:tr>
      <w:tr w:rsidTr="00FD70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54">
            <w:pPr>
              <w:pStyle w:val="BodyText"/>
              <w:rPr>
                <w:lang w:val="en-NZ"/>
              </w:rPr>
            </w:pPr>
            <w:r w:rsidRPr="00415C5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C54" w:rsidP="00415C54">
            <w:pPr>
              <w:pStyle w:val="BodyText"/>
            </w:pPr>
            <w:r w:rsidRPr="00415C54">
              <w:t>Changes to workplace policies and procedures relating to chain of responsibility are communicated to relevant stakeholders</w:t>
            </w:r>
          </w:p>
        </w:tc>
      </w:tr>
    </w:tbl>
    <w:p w:rsidR="00FD7057" w:rsidP="00415C54">
      <w:pPr>
        <w:pStyle w:val="BodyText"/>
      </w:pPr>
    </w:p>
    <w:p w:rsidR="00FD7057" w:rsidP="00415C54">
      <w:pPr>
        <w:pStyle w:val="BodyText"/>
      </w:pPr>
    </w:p>
    <w:p w:rsidR="00000000" w:rsidRPr="00415C54" w:rsidP="00415C54">
      <w:pPr>
        <w:pStyle w:val="Heading1"/>
      </w:pPr>
      <w:bookmarkStart w:id="7" w:name="O_740415"/>
      <w:bookmarkEnd w:id="7"/>
      <w:r w:rsidRPr="00415C54">
        <w:t>Foundation Skills</w:t>
      </w:r>
    </w:p>
    <w:p w:rsidR="00000000" w:rsidRPr="00415C54" w:rsidP="00FD7057">
      <w:pPr>
        <w:pStyle w:val="BodyText"/>
      </w:pPr>
      <w:r w:rsidRPr="00415C54">
        <w:t>Foundation skills essential to performance are explicit in the performance criteria of this unit of competency.</w:t>
      </w:r>
    </w:p>
    <w:p w:rsidR="00000000" w:rsidRPr="00415C54" w:rsidP="00415C54">
      <w:pPr>
        <w:pStyle w:val="Heading1"/>
      </w:pPr>
      <w:bookmarkStart w:id="8" w:name="O_740416"/>
      <w:bookmarkEnd w:id="8"/>
      <w:r w:rsidRPr="00415C54">
        <w:t>Range of Conditions</w:t>
      </w:r>
    </w:p>
    <w:p w:rsidR="00000000" w:rsidRPr="00415C54" w:rsidP="00FD7057">
      <w:pPr>
        <w:pStyle w:val="BodyText"/>
      </w:pPr>
      <w:r w:rsidRPr="00415C54">
        <w:t>Range is restricted to essential operating conditions and any other variables essential to the work environ</w:t>
      </w:r>
      <w:r w:rsidRPr="00415C54">
        <w:t>ment.</w:t>
      </w:r>
    </w:p>
    <w:p w:rsidR="00FD7057" w:rsidP="00FD7057">
      <w:pPr>
        <w:pStyle w:val="BodyText"/>
      </w:pPr>
      <w:r w:rsidRPr="00415C54">
        <w:t>Non-essential conditions can be found in the Companion Volume Implementation Guide.</w:t>
      </w:r>
    </w:p>
    <w:p w:rsidR="00000000" w:rsidRPr="00415C54" w:rsidP="00415C54">
      <w:pPr>
        <w:pStyle w:val="Heading1"/>
      </w:pPr>
      <w:bookmarkStart w:id="9" w:name="O_740417"/>
      <w:bookmarkEnd w:id="9"/>
      <w:r w:rsidRPr="00415C54">
        <w:t>Unit Mapping Information</w:t>
      </w:r>
    </w:p>
    <w:p w:rsidR="00FD7057" w:rsidP="00FD7057">
      <w:pPr>
        <w:pStyle w:val="BodyText"/>
      </w:pPr>
      <w:r w:rsidRPr="00415C54">
        <w:t xml:space="preserve">This unit replaces but is </w:t>
      </w:r>
      <w:r w:rsidRPr="00415C54">
        <w:rPr>
          <w:rStyle w:val="SpecialBold"/>
        </w:rPr>
        <w:t xml:space="preserve">not </w:t>
      </w:r>
      <w:r w:rsidRPr="00415C54">
        <w:t>equivalent to TLIF4094A Ensure compliance with chain of responsibility.</w:t>
      </w:r>
      <w:r w:rsidRPr="00415C54">
        <w:rPr>
          <w:rStyle w:val="SpecialBold"/>
        </w:rPr>
        <w:t xml:space="preserve"> </w:t>
      </w:r>
    </w:p>
    <w:p w:rsidR="00000000" w:rsidRPr="00415C54" w:rsidP="00415C54">
      <w:pPr>
        <w:pStyle w:val="Heading1"/>
      </w:pPr>
      <w:bookmarkStart w:id="10" w:name="O_740424"/>
      <w:bookmarkEnd w:id="10"/>
      <w:r w:rsidRPr="00415C54">
        <w:t>Li</w:t>
      </w:r>
      <w:r w:rsidRPr="00415C54">
        <w:t>nks</w:t>
      </w:r>
    </w:p>
    <w:p w:rsidR="00000000" w:rsidRPr="00415C54" w:rsidP="00FD7057">
      <w:pPr>
        <w:pStyle w:val="BodyText"/>
      </w:pPr>
      <w:r w:rsidRPr="00415C5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D50018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415C54" w:rsidP="00415C54"/>
    <w:sectPr w:rsidSect="00415C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54" w:rsidRPr="00FD7057" w:rsidP="00FD70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57" w:rsidP="00415C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057" w:rsidP="00415C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D7057" w:rsidP="00415C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C54" w:rsidRPr="00FD7057" w:rsidP="00FD70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57" w:rsidRPr="002D2AF8" w:rsidP="00415C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TLIF0003 Develop and implement policies and procedures to ensure chain of responsibility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FD7057" w:rsidP="00415C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C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C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C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C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C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C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C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C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C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C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C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C54"/>
  </w:style>
  <w:style w:type="character" w:customStyle="1" w:styleId="Heading1Char">
    <w:name w:val="Heading 1 Char"/>
    <w:basedOn w:val="DefaultParagraphFont"/>
    <w:link w:val="Heading1"/>
    <w:rsid w:val="00415C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C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C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5C54"/>
    <w:rPr>
      <w:b/>
      <w:spacing w:val="0"/>
    </w:rPr>
  </w:style>
  <w:style w:type="paragraph" w:customStyle="1" w:styleId="SuperHeading">
    <w:name w:val="SuperHeading"/>
    <w:basedOn w:val="Normal"/>
    <w:rsid w:val="00415C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C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C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C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C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C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C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C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C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C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C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C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C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C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C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C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C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C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5C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C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C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C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C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C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C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C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C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C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C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C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C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C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C54"/>
    <w:rPr>
      <w:i/>
    </w:rPr>
  </w:style>
  <w:style w:type="paragraph" w:styleId="Caption">
    <w:name w:val="caption"/>
    <w:basedOn w:val="BodyText"/>
    <w:next w:val="Normal"/>
    <w:qFormat/>
    <w:rsid w:val="00415C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C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C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C54"/>
  </w:style>
  <w:style w:type="paragraph" w:styleId="TableofFigures">
    <w:name w:val="table of figures"/>
    <w:basedOn w:val="Normal"/>
    <w:next w:val="Normal"/>
    <w:semiHidden/>
    <w:rsid w:val="00415C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C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5C54"/>
    <w:rPr>
      <w:rFonts w:ascii="Wingdings" w:hAnsi="Wingdings"/>
    </w:rPr>
  </w:style>
  <w:style w:type="paragraph" w:customStyle="1" w:styleId="TableHeading">
    <w:name w:val="Table Heading"/>
    <w:basedOn w:val="HeadingBase"/>
    <w:rsid w:val="00415C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C54"/>
    <w:rPr>
      <w:color w:val="0033CC"/>
      <w:u w:val="none"/>
    </w:rPr>
  </w:style>
  <w:style w:type="paragraph" w:customStyle="1" w:styleId="BodyTextRight">
    <w:name w:val="Body Text Right"/>
    <w:basedOn w:val="BodyText"/>
    <w:rsid w:val="00415C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C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C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C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C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C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C54"/>
    <w:rPr>
      <w:sz w:val="32"/>
    </w:rPr>
  </w:style>
  <w:style w:type="paragraph" w:customStyle="1" w:styleId="HeadingProcedure">
    <w:name w:val="Heading Procedure"/>
    <w:basedOn w:val="HeadingBase"/>
    <w:next w:val="Normal"/>
    <w:rsid w:val="00415C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C54"/>
    <w:pPr>
      <w:spacing w:before="60" w:after="60"/>
    </w:pPr>
  </w:style>
  <w:style w:type="paragraph" w:styleId="ListContinue">
    <w:name w:val="List Continue"/>
    <w:basedOn w:val="List"/>
    <w:rsid w:val="00415C54"/>
    <w:pPr>
      <w:ind w:firstLine="0"/>
    </w:pPr>
  </w:style>
  <w:style w:type="paragraph" w:customStyle="1" w:styleId="ListNote">
    <w:name w:val="List Note"/>
    <w:basedOn w:val="List"/>
    <w:rsid w:val="00415C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C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C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C54"/>
    <w:rPr>
      <w:rFonts w:ascii="Courier New" w:hAnsi="Courier New"/>
    </w:rPr>
  </w:style>
  <w:style w:type="paragraph" w:customStyle="1" w:styleId="NoteBullet">
    <w:name w:val="Note Bullet"/>
    <w:basedOn w:val="Note"/>
    <w:rsid w:val="00415C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C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C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C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C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5C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C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C54"/>
    <w:rPr>
      <w:b/>
      <w:smallCaps/>
    </w:rPr>
  </w:style>
  <w:style w:type="paragraph" w:customStyle="1" w:styleId="TableListNumber">
    <w:name w:val="Table List Number"/>
    <w:basedOn w:val="ListNumber"/>
    <w:rsid w:val="00415C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C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C54"/>
    <w:pPr>
      <w:numPr>
        <w:numId w:val="7"/>
      </w:numPr>
    </w:pPr>
  </w:style>
  <w:style w:type="paragraph" w:customStyle="1" w:styleId="ListAlpha2">
    <w:name w:val="List Alpha 2"/>
    <w:basedOn w:val="List2"/>
    <w:rsid w:val="00415C54"/>
    <w:pPr>
      <w:numPr>
        <w:numId w:val="6"/>
      </w:numPr>
    </w:pPr>
  </w:style>
  <w:style w:type="paragraph" w:styleId="List2">
    <w:name w:val="List 2"/>
    <w:basedOn w:val="BodyText"/>
    <w:rsid w:val="00415C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C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C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C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C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C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5C54"/>
    <w:pPr>
      <w:numPr>
        <w:numId w:val="2"/>
      </w:numPr>
    </w:pPr>
  </w:style>
  <w:style w:type="paragraph" w:styleId="ListContinue2">
    <w:name w:val="List Continue 2"/>
    <w:basedOn w:val="List2"/>
    <w:rsid w:val="00415C54"/>
    <w:pPr>
      <w:ind w:firstLine="0"/>
    </w:pPr>
  </w:style>
  <w:style w:type="paragraph" w:styleId="ListContinue3">
    <w:name w:val="List Continue 3"/>
    <w:basedOn w:val="List3"/>
    <w:rsid w:val="00415C54"/>
    <w:pPr>
      <w:ind w:left="1021" w:firstLine="0"/>
    </w:pPr>
  </w:style>
  <w:style w:type="paragraph" w:styleId="ListContinue4">
    <w:name w:val="List Continue 4"/>
    <w:basedOn w:val="List4"/>
    <w:rsid w:val="00415C54"/>
    <w:pPr>
      <w:ind w:firstLine="0"/>
    </w:pPr>
  </w:style>
  <w:style w:type="paragraph" w:styleId="ListContinue5">
    <w:name w:val="List Continue 5"/>
    <w:basedOn w:val="List5"/>
    <w:rsid w:val="00415C54"/>
    <w:pPr>
      <w:ind w:firstLine="0"/>
    </w:pPr>
  </w:style>
  <w:style w:type="paragraph" w:styleId="ListNumber3">
    <w:name w:val="List Number 3"/>
    <w:basedOn w:val="List3"/>
    <w:rsid w:val="00415C54"/>
    <w:pPr>
      <w:numPr>
        <w:numId w:val="3"/>
      </w:numPr>
    </w:pPr>
  </w:style>
  <w:style w:type="paragraph" w:styleId="ListNumber4">
    <w:name w:val="List Number 4"/>
    <w:basedOn w:val="List4"/>
    <w:rsid w:val="00415C54"/>
    <w:pPr>
      <w:numPr>
        <w:numId w:val="4"/>
      </w:numPr>
    </w:pPr>
  </w:style>
  <w:style w:type="paragraph" w:styleId="ListNumber5">
    <w:name w:val="List Number 5"/>
    <w:basedOn w:val="List5"/>
    <w:rsid w:val="00415C54"/>
    <w:pPr>
      <w:numPr>
        <w:numId w:val="5"/>
      </w:numPr>
    </w:pPr>
  </w:style>
  <w:style w:type="paragraph" w:styleId="BlockText">
    <w:name w:val="Block Text"/>
    <w:basedOn w:val="Normal"/>
    <w:rsid w:val="00415C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C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C54"/>
    <w:rPr>
      <w:sz w:val="16"/>
      <w:vertAlign w:val="superscript"/>
    </w:rPr>
  </w:style>
  <w:style w:type="character" w:customStyle="1" w:styleId="Symbols">
    <w:name w:val="Symbols"/>
    <w:basedOn w:val="DefaultParagraphFont"/>
    <w:rsid w:val="00415C54"/>
    <w:rPr>
      <w:rFonts w:ascii="Symbol" w:hAnsi="Symbol"/>
    </w:rPr>
  </w:style>
  <w:style w:type="character" w:customStyle="1" w:styleId="MenuOptions">
    <w:name w:val="Menu Options"/>
    <w:basedOn w:val="DefaultParagraphFont"/>
    <w:rsid w:val="00415C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C54"/>
    <w:rPr>
      <w:b/>
    </w:rPr>
  </w:style>
  <w:style w:type="character" w:customStyle="1" w:styleId="Underlined">
    <w:name w:val="Underlined"/>
    <w:basedOn w:val="DefaultParagraphFont"/>
    <w:rsid w:val="00415C54"/>
    <w:rPr>
      <w:u w:val="single"/>
    </w:rPr>
  </w:style>
  <w:style w:type="paragraph" w:customStyle="1" w:styleId="TableBodyTextRight">
    <w:name w:val="Table Body Text Right"/>
    <w:basedOn w:val="TableBodyText"/>
    <w:rsid w:val="00415C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C54"/>
    <w:rPr>
      <w:sz w:val="18"/>
    </w:rPr>
  </w:style>
  <w:style w:type="paragraph" w:customStyle="1" w:styleId="BodySmallRight">
    <w:name w:val="Body Small Right"/>
    <w:basedOn w:val="BodyTextRight"/>
    <w:rsid w:val="00415C54"/>
    <w:rPr>
      <w:sz w:val="18"/>
      <w:szCs w:val="18"/>
    </w:rPr>
  </w:style>
  <w:style w:type="paragraph" w:customStyle="1" w:styleId="MarginEdition">
    <w:name w:val="Margin Edition"/>
    <w:basedOn w:val="MarginNote"/>
    <w:rsid w:val="00415C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C54"/>
    <w:rPr>
      <w:sz w:val="2"/>
      <w:szCs w:val="2"/>
    </w:rPr>
  </w:style>
  <w:style w:type="character" w:customStyle="1" w:styleId="Small">
    <w:name w:val="Small"/>
    <w:basedOn w:val="DefaultParagraphFont"/>
    <w:rsid w:val="00415C54"/>
    <w:rPr>
      <w:sz w:val="16"/>
    </w:rPr>
  </w:style>
  <w:style w:type="paragraph" w:customStyle="1" w:styleId="WideTable">
    <w:name w:val="Wide Table"/>
    <w:basedOn w:val="Normal"/>
    <w:rsid w:val="00415C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C54"/>
  </w:style>
  <w:style w:type="paragraph" w:styleId="Quote">
    <w:name w:val="Quote"/>
    <w:basedOn w:val="Heading1"/>
    <w:link w:val="QuoteChar"/>
    <w:qFormat/>
    <w:rsid w:val="00415C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C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C54"/>
    <w:pPr>
      <w:pageBreakBefore/>
    </w:pPr>
  </w:style>
  <w:style w:type="paragraph" w:customStyle="1" w:styleId="Border">
    <w:name w:val="Border"/>
    <w:basedOn w:val="Normal"/>
    <w:qFormat/>
    <w:rsid w:val="00415C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C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C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C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C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C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C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C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C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C54"/>
    <w:rPr>
      <w:u w:val="single"/>
    </w:rPr>
  </w:style>
  <w:style w:type="character" w:customStyle="1" w:styleId="BoldandItalics">
    <w:name w:val="Bold and Italics"/>
    <w:qFormat/>
    <w:rsid w:val="00415C54"/>
    <w:rPr>
      <w:b/>
      <w:i/>
      <w:u w:val="none"/>
    </w:rPr>
  </w:style>
  <w:style w:type="paragraph" w:styleId="BalloonText">
    <w:name w:val="Balloon Text"/>
    <w:basedOn w:val="Normal"/>
    <w:link w:val="BalloonTextChar"/>
    <w:rsid w:val="00415C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C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C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C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C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C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C54"/>
    <w:pPr>
      <w:spacing w:before="0" w:after="0"/>
    </w:pPr>
  </w:style>
  <w:style w:type="paragraph" w:customStyle="1" w:styleId="BodyTextBold">
    <w:name w:val="Body Text Bold"/>
    <w:basedOn w:val="BodyText"/>
    <w:qFormat/>
    <w:rsid w:val="00415C54"/>
    <w:rPr>
      <w:b/>
    </w:rPr>
  </w:style>
  <w:style w:type="character" w:styleId="Hyperlink">
    <w:name w:val="Hyperlink"/>
    <w:basedOn w:val="DefaultParagraphFont"/>
    <w:uiPriority w:val="99"/>
    <w:unhideWhenUsed/>
    <w:rsid w:val="00FD70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3509</Characters>
  <Application>Microsoft Office Word</Application>
  <DocSecurity>0</DocSecurity>
  <Lines>134</Lines>
  <Paragraphs>68</Paragraphs>
  <ScaleCrop>false</ScaleCrop>
  <Company>Author-it Software Corporation Ltd.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TLIF0003 Develop and implement policies and procedures to ensure chain of responsibility compliance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2019-09-27T01:04:00Z</dcterms:created>
  <dcterms:modified xsi:type="dcterms:W3CDTF">2019-09-27T01:04:00Z</dcterms:modified>
</cp:coreProperties>
</file>