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AC4" w:rsidP="00000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TLIE4032 Use internal communication systems for rail industry regulatory compliance</w:t>
      </w:r>
      <w:r>
        <w:fldChar w:fldCharType="end"/>
      </w:r>
    </w:p>
    <w:p w:rsidR="00000AC4" w:rsidP="00000AC4">
      <w:pPr>
        <w:pStyle w:val="Version"/>
        <w:sectPr w:rsidSect="00132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2F09" w:rsidP="00132F09">
      <w:pPr>
        <w:pStyle w:val="SuperHeading"/>
      </w:pPr>
      <w:r w:rsidRPr="00132F09">
        <w:t>TLIE4032 Use internal communication systems for rail industry regulatory compliance</w:t>
      </w:r>
    </w:p>
    <w:p w:rsidR="00000000" w:rsidRPr="00132F09" w:rsidP="00132F09">
      <w:pPr>
        <w:pStyle w:val="Heading1"/>
      </w:pPr>
      <w:bookmarkStart w:id="1" w:name="O_1240490"/>
      <w:bookmarkEnd w:id="1"/>
      <w:r w:rsidRPr="00132F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Release 2</w:t>
            </w:r>
            <w:r w:rsidRPr="00132F09">
              <w:t>. This is the second release of this unit of competency in the TLI Transport and Logistics Training Package:</w:t>
            </w:r>
          </w:p>
          <w:p w:rsidR="00000000" w:rsidRPr="00132F09" w:rsidP="00132F09">
            <w:pPr>
              <w:pStyle w:val="ListBullet"/>
            </w:pPr>
            <w:r w:rsidRPr="00132F09">
              <w:t xml:space="preserve">Minor </w:t>
            </w:r>
            <w:r w:rsidRPr="00132F09">
              <w:t>statement change in Performance Evidence</w:t>
            </w:r>
          </w:p>
          <w:p w:rsidR="00000000" w:rsidP="00132F09">
            <w:pPr>
              <w:pStyle w:val="ListBullet"/>
              <w:rPr>
                <w:lang w:val="en-NZ"/>
              </w:rPr>
            </w:pPr>
            <w:r w:rsidRPr="00132F09">
              <w:t>Minor statement changes in Assessment Conditions.</w:t>
            </w:r>
          </w:p>
        </w:tc>
      </w:tr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Release 1</w:t>
            </w:r>
            <w:r w:rsidRPr="00132F09">
              <w:t>. This is the first release of this unit of competency in the TLI Transport and Logistics Training Package.</w:t>
            </w:r>
          </w:p>
        </w:tc>
      </w:tr>
    </w:tbl>
    <w:p w:rsidR="00000AC4" w:rsidP="00132F09">
      <w:pPr>
        <w:pStyle w:val="NoPaddingFontSize1"/>
      </w:pPr>
    </w:p>
    <w:p w:rsidR="00000AC4" w:rsidP="00132F09">
      <w:pPr>
        <w:pStyle w:val="NoPaddingFontSize1"/>
      </w:pPr>
    </w:p>
    <w:p w:rsidR="00000000" w:rsidRPr="00132F09" w:rsidP="00132F09">
      <w:pPr>
        <w:pStyle w:val="Heading1"/>
      </w:pPr>
      <w:bookmarkStart w:id="2" w:name="O_1240489"/>
      <w:bookmarkEnd w:id="2"/>
      <w:r w:rsidRPr="00132F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This unit inv</w:t>
            </w:r>
            <w:r w:rsidRPr="00132F09">
              <w:t>olves the skills and knowledge required to use internal communication systems for rail industry regulatory compliance.</w:t>
            </w:r>
          </w:p>
          <w:p w:rsidR="00000000" w:rsidRPr="00132F09" w:rsidP="00132F09">
            <w:pPr>
              <w:pStyle w:val="BodyText"/>
            </w:pPr>
            <w:r w:rsidRPr="00132F09">
              <w:t>It includes identifying regulatory compliance requirements, disseminating information, updating systems and managing data.</w:t>
            </w:r>
          </w:p>
          <w:p w:rsidR="00000000" w:rsidRPr="00132F09" w:rsidP="00132F09">
            <w:pPr>
              <w:pStyle w:val="BodyText"/>
            </w:pPr>
            <w:r w:rsidRPr="00132F09">
              <w:t>This unit covers identifying relevant information related to safety management and disseminating the information to the appropriate personnel.</w:t>
            </w:r>
          </w:p>
          <w:p w:rsidR="00000000" w:rsidRPr="00132F09" w:rsidP="00132F09">
            <w:pPr>
              <w:pStyle w:val="BodyText"/>
            </w:pPr>
            <w:r w:rsidRPr="00132F09">
              <w:t>No licensing, legislative or certification requirements apply to this unit at the time of publication.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3" w:name="O_1240488"/>
      <w:bookmarkEnd w:id="3"/>
      <w:r w:rsidRPr="00132F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Not applicable.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4" w:name="O_1240487"/>
      <w:bookmarkEnd w:id="4"/>
      <w:r w:rsidRPr="00132F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E – Communication and Calculation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5" w:name="O_1240486"/>
      <w:bookmarkEnd w:id="5"/>
      <w:r w:rsidRPr="00132F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Rail sector.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6" w:name="O_1240485"/>
      <w:bookmarkEnd w:id="6"/>
      <w:r w:rsidRPr="00132F0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42"/>
        <w:gridCol w:w="2923"/>
        <w:gridCol w:w="1430"/>
        <w:gridCol w:w="4403"/>
      </w:tblGrid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Elements describe the essential outcomes.</w:t>
            </w:r>
          </w:p>
        </w:tc>
        <w:tc>
          <w:tcPr>
            <w:tcW w:w="58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Performance criteria describe the performance needed to demonstrate achievement of the element.</w:t>
            </w:r>
          </w:p>
        </w:tc>
      </w:tr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1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Confirm regulatory compliance requirements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rPr>
                <w:rStyle w:val="SpecialBold"/>
              </w:rPr>
              <w:t>1.1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Regulatory compliance information is received and analysed for rel</w:t>
            </w:r>
            <w:r w:rsidRPr="00132F09">
              <w:t>evance and importance</w:t>
            </w:r>
          </w:p>
        </w:tc>
      </w:tr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>
            <w:pPr>
              <w:pStyle w:val="BodyText"/>
              <w:keepLines w:val="0"/>
              <w:spacing w:before="0" w:after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rPr>
                <w:rStyle w:val="SpecialBold"/>
              </w:rPr>
              <w:t>1.2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Relevant personnel to whom the information is to be communicated are determined in accordance with regulatory and/or organisational requirements</w:t>
            </w:r>
          </w:p>
        </w:tc>
      </w:tr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>
            <w:pPr>
              <w:pStyle w:val="BodyText"/>
              <w:keepLines w:val="0"/>
              <w:spacing w:before="0" w:after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rPr>
                <w:rStyle w:val="SpecialBold"/>
              </w:rPr>
              <w:t>1.3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Data is formatted into suitable media prior to disseminating information as required</w:t>
            </w:r>
          </w:p>
        </w:tc>
      </w:tr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2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Disseminate information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rPr>
                <w:rStyle w:val="SpecialBold"/>
              </w:rPr>
              <w:t>2.1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Method/s of communication is determined in accordance with regulatory and/or organisational requirements</w:t>
            </w:r>
          </w:p>
        </w:tc>
      </w:tr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>
            <w:pPr>
              <w:pStyle w:val="BodyText"/>
              <w:keepLines w:val="0"/>
              <w:spacing w:before="0" w:after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rPr>
                <w:rStyle w:val="SpecialBold"/>
              </w:rPr>
              <w:t>2.2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Regulatory compliance inform</w:t>
            </w:r>
            <w:r w:rsidRPr="00132F09">
              <w:t>ation is disseminated promptly and, where applicable, receipt of information is confirmed and stored/managed in accordance with organisational requirements</w:t>
            </w:r>
          </w:p>
        </w:tc>
      </w:tr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Update systems and manage data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rPr>
                <w:rStyle w:val="SpecialBold"/>
              </w:rPr>
              <w:t>3.1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Organisational systems affected by regulatory compliance infor</w:t>
            </w:r>
            <w:r w:rsidRPr="00132F09">
              <w:t>mation are identified and updated in accordance with regulatory and/or organisational requirements</w:t>
            </w:r>
          </w:p>
        </w:tc>
      </w:tr>
      <w:tr w:rsidTr="00132F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>
            <w:pPr>
              <w:pStyle w:val="BodyText"/>
              <w:keepLines w:val="0"/>
              <w:spacing w:before="0" w:after="0"/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rPr>
                <w:rStyle w:val="SpecialBold"/>
              </w:rPr>
              <w:t>3.2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Regulatory compliance information is filed or stored in accordance with regulatory and/or organisational document control procedures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7" w:name="O_1240484"/>
      <w:bookmarkEnd w:id="7"/>
      <w:r w:rsidRPr="00132F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Foundation skills essential to performance are explicit in the performance criteria of this unit of competency.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8" w:name="O_1240483"/>
      <w:bookmarkEnd w:id="8"/>
      <w:r w:rsidRPr="00132F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Range is restricted to essential operating conditions and any other variables essential to the work environment.</w:t>
            </w:r>
          </w:p>
          <w:p w:rsidR="00000000" w:rsidRPr="00132F09" w:rsidP="00132F09">
            <w:pPr>
              <w:pStyle w:val="BodyText"/>
            </w:pPr>
            <w:r w:rsidRPr="00132F09">
              <w:t>Non-essential conditions can be found in the TLI Transport and Logistics Training Package Companion Volume Implementation Guide.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9" w:name="O_1240482"/>
      <w:bookmarkEnd w:id="9"/>
      <w:r w:rsidRPr="00132F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>This unit replaces and is equivalent to TLIE4032A Use internal communication systems for rail industry regulatory compliance.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10" w:name="O_1240491"/>
      <w:bookmarkEnd w:id="10"/>
      <w:r w:rsidRPr="00132F09">
        <w:t>Links</w:t>
      </w:r>
    </w:p>
    <w:p w:rsidR="00000000" w:rsidRPr="00132F09" w:rsidP="00000AC4">
      <w:pPr>
        <w:pStyle w:val="BodyText"/>
      </w:pPr>
      <w:r w:rsidRPr="00132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4B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2F09" w:rsidP="00000AC4">
      <w:pPr>
        <w:pStyle w:val="BodyText"/>
        <w:sectPr w:rsidSect="00132F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2F09" w:rsidP="00132F09">
      <w:pPr>
        <w:pStyle w:val="SuperHeading"/>
      </w:pPr>
      <w:r w:rsidRPr="00132F09">
        <w:t>Assessment Requirements for TLIE4032 Use internal communication systems for rail industry regulatory compliance</w:t>
      </w:r>
    </w:p>
    <w:p w:rsidR="00000000" w:rsidRPr="00132F09" w:rsidP="00132F09">
      <w:pPr>
        <w:pStyle w:val="Heading1"/>
      </w:pPr>
      <w:bookmarkStart w:id="11" w:name="O_1240480"/>
      <w:bookmarkEnd w:id="11"/>
      <w:r w:rsidRPr="00132F09">
        <w:t>Mo</w:t>
      </w:r>
      <w:r w:rsidRPr="00132F09">
        <w:t>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Release 2</w:t>
            </w:r>
            <w:r w:rsidRPr="00132F09">
              <w:t>. This is the second release of this unit of competency in the TLI Transport and Logistics Training Package:</w:t>
            </w:r>
          </w:p>
          <w:p w:rsidR="00000000" w:rsidRPr="00132F09" w:rsidP="00132F09">
            <w:pPr>
              <w:pStyle w:val="ListBullet"/>
            </w:pPr>
            <w:r w:rsidRPr="00132F09">
              <w:t>Minor statement change in Performance Evidence</w:t>
            </w:r>
          </w:p>
          <w:p w:rsidR="00000000" w:rsidP="00132F09">
            <w:pPr>
              <w:pStyle w:val="ListBullet"/>
              <w:rPr>
                <w:lang w:val="en-NZ"/>
              </w:rPr>
            </w:pPr>
            <w:r w:rsidRPr="00132F09">
              <w:t>Minor statement changes in Assessment Conditions.</w:t>
            </w:r>
          </w:p>
        </w:tc>
      </w:tr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rPr>
                <w:rStyle w:val="SpecialBold"/>
              </w:rPr>
              <w:t>Release 1</w:t>
            </w:r>
            <w:r w:rsidRPr="00132F09">
              <w:t>. This is the first release of this unit of competency in the TLI Transport and Logistics Training Package.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12" w:name="O_1240479"/>
      <w:bookmarkEnd w:id="12"/>
      <w:r w:rsidRPr="00132F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Evidence required to demonstrate competence in this unit must be relevant to and satisfy all of the requir</w:t>
            </w:r>
            <w:r w:rsidRPr="00132F09">
              <w:t>ements of the elements and performance criteria on at least one occasion and include:</w:t>
            </w:r>
          </w:p>
        </w:tc>
      </w:tr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ListBullet"/>
            </w:pPr>
            <w:r w:rsidRPr="00132F09">
              <w:t>applying relevant legislation and workplace procedures</w:t>
            </w:r>
          </w:p>
          <w:p w:rsidR="00000000" w:rsidRPr="00132F09" w:rsidP="00132F09">
            <w:pPr>
              <w:pStyle w:val="ListBullet"/>
            </w:pPr>
            <w:r w:rsidRPr="00132F09">
              <w:t>communicating effectively and working collaboratively with others</w:t>
            </w:r>
          </w:p>
          <w:p w:rsidR="00000000" w:rsidRPr="00132F09" w:rsidP="00132F09">
            <w:pPr>
              <w:pStyle w:val="ListBullet"/>
            </w:pPr>
            <w:r w:rsidRPr="00132F09">
              <w:t>identifying and using media available for disse</w:t>
            </w:r>
            <w:r w:rsidRPr="00132F09">
              <w:t>minating information</w:t>
            </w:r>
          </w:p>
          <w:p w:rsidR="00000000" w:rsidRPr="00132F09" w:rsidP="00132F09">
            <w:pPr>
              <w:pStyle w:val="ListBullet"/>
            </w:pPr>
            <w:r w:rsidRPr="00132F09">
              <w:t>identifying rail industry regulatory compliance requirements</w:t>
            </w:r>
          </w:p>
          <w:p w:rsidR="00000000" w:rsidRPr="00132F09" w:rsidP="00132F09">
            <w:pPr>
              <w:pStyle w:val="ListBullet"/>
            </w:pPr>
            <w:r w:rsidRPr="00132F09">
              <w:t xml:space="preserve">identifying regulatory compliance information storage methods </w:t>
            </w:r>
          </w:p>
          <w:p w:rsidR="00000000" w:rsidRPr="00132F09" w:rsidP="00132F09">
            <w:pPr>
              <w:pStyle w:val="ListBullet"/>
            </w:pPr>
            <w:r w:rsidRPr="00132F09">
              <w:t xml:space="preserve">reading and interpreting relevant instructions, procedures and information </w:t>
            </w:r>
          </w:p>
          <w:p w:rsidR="00000000" w:rsidRPr="00132F09" w:rsidP="00132F09">
            <w:pPr>
              <w:pStyle w:val="ListBullet"/>
            </w:pPr>
            <w:r w:rsidRPr="00132F09">
              <w:t>using appropriate media to disseminate information.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13" w:name="O_1240478"/>
      <w:bookmarkEnd w:id="13"/>
      <w:r w:rsidRPr="00132F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09">
            <w:pPr>
              <w:pStyle w:val="BodyText"/>
              <w:rPr>
                <w:lang w:val="en-NZ"/>
              </w:rPr>
            </w:pPr>
            <w:r w:rsidRPr="00132F09">
              <w:t>Evidence required to demonstrate competence in this unit must be relevant to and satisfy all of the requirements of the elements and performance criteria and includ</w:t>
            </w:r>
            <w:r w:rsidRPr="00132F09">
              <w:t>e knowledge of:</w:t>
            </w:r>
          </w:p>
        </w:tc>
      </w:tr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ListBullet"/>
            </w:pPr>
            <w:r w:rsidRPr="00132F09">
              <w:t>data management systems</w:t>
            </w:r>
          </w:p>
          <w:p w:rsidR="00000000" w:rsidRPr="00132F09" w:rsidP="00132F09">
            <w:pPr>
              <w:pStyle w:val="ListBullet"/>
            </w:pPr>
            <w:r w:rsidRPr="00132F09">
              <w:t xml:space="preserve">organisational risk management systems </w:t>
            </w:r>
          </w:p>
          <w:p w:rsidR="00000000" w:rsidRPr="00132F09" w:rsidP="00132F09">
            <w:pPr>
              <w:pStyle w:val="ListBullet"/>
            </w:pPr>
            <w:r w:rsidRPr="00132F09">
              <w:t xml:space="preserve">organisational systems available for information communication and dissemination </w:t>
            </w:r>
          </w:p>
          <w:p w:rsidR="00000000" w:rsidRPr="00132F09" w:rsidP="00132F09">
            <w:pPr>
              <w:pStyle w:val="ListBullet"/>
            </w:pPr>
            <w:r w:rsidRPr="00132F09">
              <w:t>rail safety national law and regulatory requirements related to rail safety management syste</w:t>
            </w:r>
            <w:r w:rsidRPr="00132F09">
              <w:t>m (SMS)</w:t>
            </w:r>
          </w:p>
          <w:p w:rsidR="00000000" w:rsidRPr="00132F09" w:rsidP="00132F09">
            <w:pPr>
              <w:pStyle w:val="ListBullet"/>
            </w:pPr>
            <w:r w:rsidRPr="00132F09">
              <w:t>regulatory compliance information</w:t>
            </w:r>
          </w:p>
          <w:p w:rsidR="00000000" w:rsidRPr="00132F09" w:rsidP="00132F09">
            <w:pPr>
              <w:pStyle w:val="ListBullet"/>
            </w:pPr>
            <w:r w:rsidRPr="00132F09">
              <w:t xml:space="preserve">requirements of organisational systems including SMSs, risk management plans and risk registers </w:t>
            </w:r>
          </w:p>
          <w:p w:rsidR="00000000" w:rsidRPr="00132F09" w:rsidP="00132F09">
            <w:pPr>
              <w:pStyle w:val="ListBullet"/>
            </w:pPr>
            <w:r w:rsidRPr="00132F09">
              <w:t>workplace procedures and instructions for notifiable occurrence reports.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14" w:name="O_1240477"/>
      <w:bookmarkEnd w:id="14"/>
      <w:r w:rsidRPr="00132F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F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09" w:rsidP="00132F09">
            <w:pPr>
              <w:pStyle w:val="BodyText"/>
            </w:pPr>
            <w:r w:rsidRPr="00132F09">
              <w:t xml:space="preserve">Assessors must hold credentials specified within the Standards for Registered Training Organisations current at the time of assessment. </w:t>
            </w:r>
          </w:p>
          <w:p w:rsidR="00000000" w:rsidRPr="00132F09" w:rsidP="00132F09">
            <w:pPr>
              <w:pStyle w:val="BodyText"/>
            </w:pPr>
            <w:r w:rsidRPr="00132F09">
              <w:t>Assessment must satisfy the Principles of Assessment and Rules of Evidence and all regulatory requirements included wit</w:t>
            </w:r>
            <w:r w:rsidRPr="00132F09">
              <w:t>hin the Standards for Registered Training Organisations current at the time of assessment.</w:t>
            </w:r>
          </w:p>
          <w:p w:rsidR="00000000" w:rsidRPr="00132F09" w:rsidP="00132F09">
            <w:pPr>
              <w:pStyle w:val="BodyText"/>
            </w:pPr>
            <w:r w:rsidRPr="00132F09">
              <w:t>Assessment must occur in workplace operational situations where it is appropriate to do so; where this is not appropriate, assessment must occur in simulated workpla</w:t>
            </w:r>
            <w:r w:rsidRPr="00132F09">
              <w:t>ce operational situations that replicate rail workplace conditions.</w:t>
            </w:r>
          </w:p>
          <w:p w:rsidR="00000000" w:rsidRPr="00132F09" w:rsidP="00132F09">
            <w:pPr>
              <w:pStyle w:val="BodyText"/>
            </w:pPr>
            <w:r w:rsidRPr="00132F0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2F09" w:rsidP="00132F09">
            <w:pPr>
              <w:pStyle w:val="BodyText"/>
            </w:pPr>
            <w:r w:rsidRPr="00132F09">
              <w:t>Resources for assess</w:t>
            </w:r>
            <w:r w:rsidRPr="00132F09">
              <w:t>ment must include access to:</w:t>
            </w:r>
          </w:p>
          <w:p w:rsidR="00000000" w:rsidRPr="00132F09" w:rsidP="00132F09">
            <w:pPr>
              <w:pStyle w:val="ListBullet"/>
            </w:pPr>
            <w:r w:rsidRPr="00132F09">
              <w:t>a range of relevant exercises, case studies and/or simulations</w:t>
            </w:r>
          </w:p>
          <w:p w:rsidR="00000000" w:rsidRPr="00132F09" w:rsidP="00132F09">
            <w:pPr>
              <w:pStyle w:val="ListBullet"/>
            </w:pPr>
            <w:r w:rsidRPr="00132F09">
              <w:t>applicable documentation including workplace procedures, regulations, SMS, codes of practice and operation manuals.</w:t>
            </w:r>
          </w:p>
        </w:tc>
      </w:tr>
    </w:tbl>
    <w:p w:rsidR="00000000" w:rsidRPr="00132F09" w:rsidP="00132F09">
      <w:pPr>
        <w:pStyle w:val="NoPaddingFontSize1"/>
      </w:pPr>
    </w:p>
    <w:p w:rsidR="00000000" w:rsidRPr="00132F09" w:rsidP="00132F09">
      <w:pPr>
        <w:pStyle w:val="AllowPageBreak"/>
      </w:pPr>
    </w:p>
    <w:p w:rsidR="00000000" w:rsidRPr="00132F09" w:rsidP="00132F09">
      <w:pPr>
        <w:pStyle w:val="Heading1"/>
      </w:pPr>
      <w:bookmarkStart w:id="15" w:name="O_1240492"/>
      <w:bookmarkEnd w:id="15"/>
      <w:r w:rsidRPr="00132F09">
        <w:t>Links</w:t>
      </w:r>
    </w:p>
    <w:p w:rsidR="00000000" w:rsidRPr="00132F09" w:rsidP="00000AC4">
      <w:pPr>
        <w:pStyle w:val="BodyText"/>
      </w:pPr>
      <w:r w:rsidRPr="00132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4B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2F09" w:rsidP="00132F09"/>
    <w:sectPr w:rsidSect="00132F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09" w:rsidRPr="00000AC4" w:rsidP="00000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C4" w:rsidP="00132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AC4" w:rsidP="00132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0AC4" w:rsidP="00132F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09" w:rsidP="00132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0AC4">
      <w:t>Approved</w:t>
    </w:r>
    <w:r w:rsidR="00000A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0A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0AC4">
      <w:rPr>
        <w:noProof/>
      </w:rPr>
      <w:t>4</w:t>
    </w:r>
    <w:r>
      <w:rPr>
        <w:noProof/>
      </w:rPr>
      <w:fldChar w:fldCharType="end"/>
    </w:r>
  </w:p>
  <w:p w:rsidR="00132F09" w:rsidP="00132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0A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0AC4">
      <w:t>Industry Skills Australia</w:t>
    </w:r>
    <w:r w:rsidR="00000AC4">
      <w:fldChar w:fldCharType="end"/>
    </w:r>
  </w:p>
  <w:p w:rsidR="00132F09" w:rsidP="00132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F09" w:rsidRPr="00000AC4" w:rsidP="00000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C4" w:rsidRPr="002D2AF8" w:rsidP="00132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TLIE4032 Use internal communication systems for rail industry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0AC4" w:rsidP="00132F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09" w:rsidRPr="002D2AF8" w:rsidP="00132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0AC4">
      <w:t>TLIE4032 Use internal communication systems for rail industry regulatory compliance</w:t>
    </w:r>
    <w:r w:rsidR="00000A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0AC4">
      <w:rPr>
        <w:noProof/>
      </w:rPr>
      <w:t>2 March 2025</w:t>
    </w:r>
    <w:r>
      <w:fldChar w:fldCharType="end"/>
    </w:r>
  </w:p>
  <w:p w:rsidR="00132F09" w:rsidP="00132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EAD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E6E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F09"/>
  </w:style>
  <w:style w:type="character" w:customStyle="1" w:styleId="Heading1Char">
    <w:name w:val="Heading 1 Char"/>
    <w:basedOn w:val="DefaultParagraphFont"/>
    <w:link w:val="Heading1"/>
    <w:rsid w:val="00132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F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F09"/>
    <w:rPr>
      <w:b/>
      <w:spacing w:val="0"/>
    </w:rPr>
  </w:style>
  <w:style w:type="paragraph" w:customStyle="1" w:styleId="SuperHeading">
    <w:name w:val="SuperHeading"/>
    <w:basedOn w:val="Normal"/>
    <w:rsid w:val="00132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2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F09"/>
    <w:rPr>
      <w:i/>
    </w:rPr>
  </w:style>
  <w:style w:type="paragraph" w:styleId="Caption">
    <w:name w:val="caption"/>
    <w:basedOn w:val="BodyText"/>
    <w:next w:val="Normal"/>
    <w:qFormat/>
    <w:rsid w:val="00132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F09"/>
  </w:style>
  <w:style w:type="paragraph" w:styleId="TableofFigures">
    <w:name w:val="table of figures"/>
    <w:basedOn w:val="Normal"/>
    <w:next w:val="Normal"/>
    <w:semiHidden/>
    <w:rsid w:val="00132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F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F09"/>
    <w:rPr>
      <w:rFonts w:ascii="Wingdings" w:hAnsi="Wingdings"/>
    </w:rPr>
  </w:style>
  <w:style w:type="paragraph" w:customStyle="1" w:styleId="TableHeading">
    <w:name w:val="Table Heading"/>
    <w:basedOn w:val="HeadingBase"/>
    <w:rsid w:val="00132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F09"/>
    <w:rPr>
      <w:color w:val="0033CC"/>
      <w:u w:val="none"/>
    </w:rPr>
  </w:style>
  <w:style w:type="paragraph" w:customStyle="1" w:styleId="BodyTextRight">
    <w:name w:val="Body Text Right"/>
    <w:basedOn w:val="BodyText"/>
    <w:rsid w:val="00132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F09"/>
    <w:rPr>
      <w:sz w:val="32"/>
    </w:rPr>
  </w:style>
  <w:style w:type="paragraph" w:customStyle="1" w:styleId="HeadingProcedure">
    <w:name w:val="Heading Procedure"/>
    <w:basedOn w:val="HeadingBase"/>
    <w:next w:val="Normal"/>
    <w:rsid w:val="00132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F09"/>
    <w:pPr>
      <w:spacing w:before="60" w:after="60"/>
    </w:pPr>
  </w:style>
  <w:style w:type="paragraph" w:styleId="ListContinue">
    <w:name w:val="List Continue"/>
    <w:basedOn w:val="List"/>
    <w:rsid w:val="00132F09"/>
    <w:pPr>
      <w:ind w:firstLine="0"/>
    </w:pPr>
  </w:style>
  <w:style w:type="paragraph" w:customStyle="1" w:styleId="ListNote">
    <w:name w:val="List Note"/>
    <w:basedOn w:val="List"/>
    <w:rsid w:val="00132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F09"/>
    <w:rPr>
      <w:rFonts w:ascii="Courier New" w:hAnsi="Courier New"/>
    </w:rPr>
  </w:style>
  <w:style w:type="paragraph" w:customStyle="1" w:styleId="NoteBullet">
    <w:name w:val="Note Bullet"/>
    <w:basedOn w:val="Note"/>
    <w:rsid w:val="00132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F09"/>
    <w:rPr>
      <w:b/>
      <w:smallCaps/>
    </w:rPr>
  </w:style>
  <w:style w:type="paragraph" w:customStyle="1" w:styleId="TableListNumber">
    <w:name w:val="Table List Number"/>
    <w:basedOn w:val="ListNumber"/>
    <w:rsid w:val="00132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F09"/>
    <w:pPr>
      <w:numPr>
        <w:numId w:val="8"/>
      </w:numPr>
    </w:pPr>
  </w:style>
  <w:style w:type="paragraph" w:customStyle="1" w:styleId="ListAlpha2">
    <w:name w:val="List Alpha 2"/>
    <w:basedOn w:val="List2"/>
    <w:rsid w:val="00132F09"/>
    <w:pPr>
      <w:numPr>
        <w:numId w:val="7"/>
      </w:numPr>
    </w:pPr>
  </w:style>
  <w:style w:type="paragraph" w:styleId="List2">
    <w:name w:val="List 2"/>
    <w:basedOn w:val="BodyText"/>
    <w:rsid w:val="00132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F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F09"/>
    <w:pPr>
      <w:numPr>
        <w:numId w:val="3"/>
      </w:numPr>
    </w:pPr>
  </w:style>
  <w:style w:type="paragraph" w:styleId="ListContinue2">
    <w:name w:val="List Continue 2"/>
    <w:basedOn w:val="List2"/>
    <w:rsid w:val="00132F09"/>
    <w:pPr>
      <w:ind w:firstLine="0"/>
    </w:pPr>
  </w:style>
  <w:style w:type="paragraph" w:styleId="ListContinue3">
    <w:name w:val="List Continue 3"/>
    <w:basedOn w:val="List3"/>
    <w:rsid w:val="00132F09"/>
    <w:pPr>
      <w:ind w:left="1021" w:firstLine="0"/>
    </w:pPr>
  </w:style>
  <w:style w:type="paragraph" w:styleId="ListContinue4">
    <w:name w:val="List Continue 4"/>
    <w:basedOn w:val="List4"/>
    <w:rsid w:val="00132F09"/>
    <w:pPr>
      <w:ind w:firstLine="0"/>
    </w:pPr>
  </w:style>
  <w:style w:type="paragraph" w:styleId="ListContinue5">
    <w:name w:val="List Continue 5"/>
    <w:basedOn w:val="List5"/>
    <w:rsid w:val="00132F09"/>
    <w:pPr>
      <w:ind w:firstLine="0"/>
    </w:pPr>
  </w:style>
  <w:style w:type="paragraph" w:styleId="ListNumber3">
    <w:name w:val="List Number 3"/>
    <w:basedOn w:val="List3"/>
    <w:rsid w:val="00132F09"/>
    <w:pPr>
      <w:numPr>
        <w:numId w:val="4"/>
      </w:numPr>
    </w:pPr>
  </w:style>
  <w:style w:type="paragraph" w:styleId="ListNumber4">
    <w:name w:val="List Number 4"/>
    <w:basedOn w:val="List4"/>
    <w:rsid w:val="00132F09"/>
    <w:pPr>
      <w:numPr>
        <w:numId w:val="5"/>
      </w:numPr>
    </w:pPr>
  </w:style>
  <w:style w:type="paragraph" w:styleId="ListNumber5">
    <w:name w:val="List Number 5"/>
    <w:basedOn w:val="List5"/>
    <w:rsid w:val="00132F09"/>
    <w:pPr>
      <w:numPr>
        <w:numId w:val="6"/>
      </w:numPr>
    </w:pPr>
  </w:style>
  <w:style w:type="paragraph" w:styleId="BlockText">
    <w:name w:val="Block Text"/>
    <w:basedOn w:val="Normal"/>
    <w:rsid w:val="00132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F09"/>
    <w:rPr>
      <w:sz w:val="16"/>
      <w:vertAlign w:val="superscript"/>
    </w:rPr>
  </w:style>
  <w:style w:type="character" w:customStyle="1" w:styleId="Symbols">
    <w:name w:val="Symbols"/>
    <w:basedOn w:val="DefaultParagraphFont"/>
    <w:rsid w:val="00132F09"/>
    <w:rPr>
      <w:rFonts w:ascii="Symbol" w:hAnsi="Symbol"/>
    </w:rPr>
  </w:style>
  <w:style w:type="character" w:customStyle="1" w:styleId="MenuOptions">
    <w:name w:val="Menu Options"/>
    <w:basedOn w:val="DefaultParagraphFont"/>
    <w:rsid w:val="00132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F09"/>
    <w:rPr>
      <w:b/>
    </w:rPr>
  </w:style>
  <w:style w:type="character" w:customStyle="1" w:styleId="Underlined">
    <w:name w:val="Underlined"/>
    <w:basedOn w:val="DefaultParagraphFont"/>
    <w:rsid w:val="00132F09"/>
    <w:rPr>
      <w:u w:val="single"/>
    </w:rPr>
  </w:style>
  <w:style w:type="paragraph" w:customStyle="1" w:styleId="TableBodyTextRight">
    <w:name w:val="Table Body Text Right"/>
    <w:basedOn w:val="TableBodyText"/>
    <w:rsid w:val="00132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F09"/>
    <w:rPr>
      <w:sz w:val="18"/>
    </w:rPr>
  </w:style>
  <w:style w:type="paragraph" w:customStyle="1" w:styleId="BodySmallRight">
    <w:name w:val="Body Small Right"/>
    <w:basedOn w:val="BodyTextRight"/>
    <w:rsid w:val="00132F09"/>
    <w:rPr>
      <w:sz w:val="18"/>
      <w:szCs w:val="18"/>
    </w:rPr>
  </w:style>
  <w:style w:type="paragraph" w:customStyle="1" w:styleId="MarginEdition">
    <w:name w:val="Margin Edition"/>
    <w:basedOn w:val="MarginNote"/>
    <w:rsid w:val="00132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F09"/>
    <w:rPr>
      <w:sz w:val="2"/>
      <w:szCs w:val="2"/>
    </w:rPr>
  </w:style>
  <w:style w:type="character" w:customStyle="1" w:styleId="Small">
    <w:name w:val="Small"/>
    <w:basedOn w:val="DefaultParagraphFont"/>
    <w:rsid w:val="00132F09"/>
    <w:rPr>
      <w:sz w:val="16"/>
    </w:rPr>
  </w:style>
  <w:style w:type="paragraph" w:customStyle="1" w:styleId="WideTable">
    <w:name w:val="Wide Table"/>
    <w:basedOn w:val="Normal"/>
    <w:rsid w:val="00132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F09"/>
  </w:style>
  <w:style w:type="paragraph" w:styleId="Quote">
    <w:name w:val="Quote"/>
    <w:basedOn w:val="Heading1"/>
    <w:link w:val="QuoteChar"/>
    <w:qFormat/>
    <w:rsid w:val="00132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F09"/>
    <w:pPr>
      <w:pageBreakBefore/>
    </w:pPr>
  </w:style>
  <w:style w:type="paragraph" w:customStyle="1" w:styleId="Border">
    <w:name w:val="Border"/>
    <w:basedOn w:val="Normal"/>
    <w:qFormat/>
    <w:rsid w:val="00132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F09"/>
    <w:rPr>
      <w:u w:val="single"/>
    </w:rPr>
  </w:style>
  <w:style w:type="character" w:customStyle="1" w:styleId="BoldandItalics">
    <w:name w:val="Bold and Italics"/>
    <w:qFormat/>
    <w:rsid w:val="00132F09"/>
    <w:rPr>
      <w:b/>
      <w:i/>
      <w:u w:val="none"/>
    </w:rPr>
  </w:style>
  <w:style w:type="paragraph" w:styleId="BalloonText">
    <w:name w:val="Balloon Text"/>
    <w:basedOn w:val="Normal"/>
    <w:link w:val="BalloonTextChar"/>
    <w:rsid w:val="00132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F09"/>
    <w:pPr>
      <w:spacing w:before="0" w:after="0"/>
    </w:pPr>
  </w:style>
  <w:style w:type="paragraph" w:customStyle="1" w:styleId="BodyTextBold">
    <w:name w:val="Body Text Bold"/>
    <w:basedOn w:val="BodyText"/>
    <w:qFormat/>
    <w:rsid w:val="00132F09"/>
    <w:rPr>
      <w:b/>
    </w:rPr>
  </w:style>
  <w:style w:type="character" w:styleId="Hyperlink">
    <w:name w:val="Hyperlink"/>
    <w:basedOn w:val="DefaultParagraphFont"/>
    <w:uiPriority w:val="99"/>
    <w:unhideWhenUsed/>
    <w:rsid w:val="00000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5498</Characters>
  <Application>Microsoft Office Word</Application>
  <DocSecurity>0</DocSecurity>
  <Lines>189</Lines>
  <Paragraphs>101</Paragraphs>
  <ScaleCrop>false</ScaleCrop>
  <Company>Author-it Software Corporation Ltd.</Company>
  <LinksUpToDate>false</LinksUpToDate>
  <CharactersWithSpaces>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TLIE4032 Use internal communication systems for rail industry regulatory compliance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