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E596D" w:rsidP="00BE59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TLIE4025 Prepare and process transport documentation for dangerous goods</w:t>
      </w:r>
      <w:r>
        <w:fldChar w:fldCharType="end"/>
      </w:r>
    </w:p>
    <w:p w:rsidR="00BE596D" w:rsidP="00BE596D">
      <w:pPr>
        <w:pStyle w:val="Version"/>
        <w:sectPr w:rsidSect="004B25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4B25DD" w:rsidP="004B25DD">
      <w:pPr>
        <w:pStyle w:val="SuperHeading"/>
      </w:pPr>
      <w:r w:rsidRPr="004B25DD">
        <w:t>Assessment Requirements for TLIE4025 Prepare and process transport documentation for dangerous goods</w:t>
      </w:r>
    </w:p>
    <w:p w:rsidR="00000000" w:rsidRPr="004B25DD" w:rsidP="004B25DD">
      <w:pPr>
        <w:pStyle w:val="Heading1"/>
      </w:pPr>
      <w:bookmarkStart w:id="1" w:name="O_1196162"/>
      <w:bookmarkEnd w:id="1"/>
      <w:r w:rsidRPr="004B25D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DD" w:rsidP="004B25DD">
            <w:pPr>
              <w:pStyle w:val="BodyText"/>
            </w:pPr>
            <w:r w:rsidRPr="004B25DD">
              <w:rPr>
                <w:rStyle w:val="SpecialBold"/>
              </w:rPr>
              <w:t>Release 2.</w:t>
            </w:r>
            <w:r w:rsidRPr="004B25DD">
              <w:t xml:space="preserve"> This is the second release of this unit of competency in the TLI Transport and Logistics Training Package.  </w:t>
            </w:r>
          </w:p>
          <w:p w:rsidR="00000000" w:rsidRPr="004B25DD" w:rsidP="004B25DD">
            <w:pPr>
              <w:pStyle w:val="ListBullet2"/>
            </w:pPr>
            <w:r w:rsidRPr="004B25DD">
              <w:t>Minor changes to unit Application</w:t>
            </w:r>
          </w:p>
          <w:p w:rsidR="00000000" w:rsidRPr="004B25DD" w:rsidP="004B25DD">
            <w:pPr>
              <w:pStyle w:val="ListBullet2"/>
            </w:pPr>
            <w:r w:rsidRPr="004B25DD">
              <w:t>Minor changes to Performance Criteria</w:t>
            </w:r>
          </w:p>
          <w:p w:rsidR="00000000" w:rsidP="004B25DD">
            <w:pPr>
              <w:pStyle w:val="ListBullet2"/>
              <w:rPr>
                <w:lang w:val="en-NZ"/>
              </w:rPr>
            </w:pPr>
            <w:r w:rsidRPr="004B25DD">
              <w:t>Minor changes to Assessment Conditions.</w:t>
            </w:r>
          </w:p>
        </w:tc>
      </w:tr>
      <w:tr w:rsidTr="004B2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DD" w:rsidP="004B25DD">
            <w:pPr>
              <w:pStyle w:val="BodyText"/>
            </w:pPr>
            <w:r w:rsidRPr="004B25DD">
              <w:rPr>
                <w:rStyle w:val="SpecialBold"/>
              </w:rPr>
              <w:t>Release 1.</w:t>
            </w:r>
            <w:r w:rsidRPr="004B25DD">
              <w:t xml:space="preserve"> This is the first rel</w:t>
            </w:r>
            <w:r w:rsidRPr="004B25DD">
              <w:t>ease of this unit of competency in the TLI Transport and Logistics Training Package.</w:t>
            </w:r>
          </w:p>
        </w:tc>
      </w:tr>
    </w:tbl>
    <w:p w:rsidR="00BE596D" w:rsidP="004B25DD">
      <w:pPr>
        <w:pStyle w:val="NoPaddingFontSize1"/>
      </w:pPr>
    </w:p>
    <w:p w:rsidR="00BE596D" w:rsidP="004B25DD">
      <w:pPr>
        <w:pStyle w:val="NoPaddingFontSize1"/>
      </w:pPr>
    </w:p>
    <w:p w:rsidR="00000000" w:rsidRPr="004B25DD" w:rsidP="004B25DD">
      <w:pPr>
        <w:pStyle w:val="Heading1"/>
      </w:pPr>
      <w:bookmarkStart w:id="2" w:name="O_1196161"/>
      <w:bookmarkEnd w:id="2"/>
      <w:r w:rsidRPr="004B25D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DD">
            <w:pPr>
              <w:pStyle w:val="BodyText"/>
              <w:rPr>
                <w:lang w:val="en-NZ"/>
              </w:rPr>
            </w:pPr>
            <w:r w:rsidRPr="004B25DD">
              <w:t>Evidence required to demonstrate competence in this unit must be relevant to and satisfy all the requirements of the elements an</w:t>
            </w:r>
            <w:r w:rsidRPr="004B25DD">
              <w:t>d performance criteria on at least one occasion and include:</w:t>
            </w:r>
          </w:p>
        </w:tc>
      </w:tr>
      <w:tr w:rsidTr="004B2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5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DD" w:rsidP="004B25DD">
            <w:pPr>
              <w:pStyle w:val="ListBullet"/>
            </w:pPr>
            <w:r w:rsidRPr="004B25DD">
              <w:t xml:space="preserve">communicating effectively with others </w:t>
            </w:r>
          </w:p>
          <w:p w:rsidR="00000000" w:rsidRPr="004B25DD" w:rsidP="004B25DD">
            <w:pPr>
              <w:pStyle w:val="ListBullet"/>
            </w:pPr>
            <w:r w:rsidRPr="004B25DD">
              <w:t>identifying regulatory requirements for completing dangerous goods documentation accurately, including:</w:t>
            </w:r>
          </w:p>
          <w:p w:rsidR="00000000" w:rsidRPr="004B25DD" w:rsidP="004B25DD">
            <w:pPr>
              <w:pStyle w:val="ListBullet2"/>
            </w:pPr>
            <w:r w:rsidRPr="004B25DD">
              <w:t>relevant Australian Standards and certification requirements</w:t>
            </w:r>
          </w:p>
          <w:p w:rsidR="00000000" w:rsidRPr="004B25DD" w:rsidP="004B25DD">
            <w:pPr>
              <w:pStyle w:val="ListBullet2"/>
            </w:pPr>
            <w:r w:rsidRPr="004B25DD">
              <w:t>relevant internal data entry books, including logbooks, data sheets and load sheets</w:t>
            </w:r>
          </w:p>
          <w:p w:rsidR="00000000" w:rsidRPr="004B25DD" w:rsidP="004B25DD">
            <w:pPr>
              <w:pStyle w:val="ListBullet2"/>
            </w:pPr>
            <w:r w:rsidRPr="004B25DD">
              <w:t>transport emergency response plan (TERP)</w:t>
            </w:r>
          </w:p>
          <w:p w:rsidR="00000000" w:rsidRPr="004B25DD" w:rsidP="004B25DD">
            <w:pPr>
              <w:pStyle w:val="ListBullet2"/>
            </w:pPr>
            <w:r w:rsidRPr="004B25DD">
              <w:t>transport regulations as they apply to the enterprise, including local</w:t>
            </w:r>
            <w:r w:rsidRPr="004B25DD">
              <w:t xml:space="preserve"> authority regulations and procedures</w:t>
            </w:r>
          </w:p>
          <w:p w:rsidR="00000000" w:rsidRPr="004B25DD" w:rsidP="004B25DD">
            <w:pPr>
              <w:pStyle w:val="ListBullet2"/>
            </w:pPr>
            <w:r w:rsidRPr="004B25DD">
              <w:t>workplace policies and procedures</w:t>
            </w:r>
          </w:p>
          <w:p w:rsidR="00000000" w:rsidRPr="004B25DD" w:rsidP="004B25DD">
            <w:pPr>
              <w:pStyle w:val="ListBullet"/>
            </w:pPr>
            <w:r w:rsidRPr="004B25DD">
              <w:t xml:space="preserve">interpreting and following operational instructions and prioritising work </w:t>
            </w:r>
          </w:p>
          <w:p w:rsidR="00000000" w:rsidRPr="004B25DD" w:rsidP="004B25DD">
            <w:pPr>
              <w:pStyle w:val="ListBullet"/>
            </w:pPr>
            <w:r w:rsidRPr="004B25DD">
              <w:t>preparing current dangerous goods documentation accurately</w:t>
            </w:r>
          </w:p>
          <w:p w:rsidR="00000000" w:rsidRPr="004B25DD" w:rsidP="004B25DD">
            <w:pPr>
              <w:pStyle w:val="ListBullet"/>
            </w:pPr>
            <w:r w:rsidRPr="004B25DD">
              <w:t>processing dangerous goods documentation in accordance with workplace procedures</w:t>
            </w:r>
          </w:p>
          <w:p w:rsidR="00000000" w:rsidRPr="004B25DD" w:rsidP="004B25DD">
            <w:pPr>
              <w:pStyle w:val="ListBullet"/>
            </w:pPr>
            <w:r w:rsidRPr="004B25DD">
              <w:t xml:space="preserve">reading, interpreting, and organising information </w:t>
            </w:r>
          </w:p>
          <w:p w:rsidR="00000000" w:rsidRPr="004B25DD" w:rsidP="004B25DD">
            <w:pPr>
              <w:pStyle w:val="ListBullet"/>
            </w:pPr>
            <w:r w:rsidRPr="004B25DD">
              <w:t>reporting and rectifying, within limits of own role, identified problems promptly in accordance with regulatory requirements</w:t>
            </w:r>
            <w:r w:rsidRPr="004B25DD">
              <w:t xml:space="preserve"> and workplace procedures</w:t>
            </w:r>
          </w:p>
          <w:p w:rsidR="00000000" w:rsidRPr="004B25DD" w:rsidP="004B25DD">
            <w:pPr>
              <w:pStyle w:val="ListBullet"/>
            </w:pPr>
            <w:r w:rsidRPr="004B25DD">
              <w:t xml:space="preserve">working collaboratively with others </w:t>
            </w:r>
          </w:p>
          <w:p w:rsidR="00000000" w:rsidRPr="004B25DD" w:rsidP="004B25DD">
            <w:pPr>
              <w:pStyle w:val="ListBullet"/>
            </w:pPr>
            <w:r w:rsidRPr="004B25DD">
              <w:t>writing and/or entering information into computer-based documentation systems.</w:t>
            </w:r>
          </w:p>
        </w:tc>
      </w:tr>
    </w:tbl>
    <w:p w:rsidR="00BE596D" w:rsidP="004B25DD">
      <w:pPr>
        <w:pStyle w:val="NoPaddingFontSize1"/>
      </w:pPr>
    </w:p>
    <w:p w:rsidR="00BE596D" w:rsidP="004B25DD">
      <w:pPr>
        <w:pStyle w:val="NoPaddingFontSize1"/>
      </w:pPr>
    </w:p>
    <w:p w:rsidR="00000000" w:rsidRPr="004B25DD" w:rsidP="004B25DD">
      <w:pPr>
        <w:pStyle w:val="Heading1"/>
      </w:pPr>
      <w:bookmarkStart w:id="3" w:name="O_1196160"/>
      <w:bookmarkEnd w:id="3"/>
      <w:r w:rsidRPr="004B25D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56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B25DD">
            <w:pPr>
              <w:pStyle w:val="BodyText"/>
              <w:rPr>
                <w:lang w:val="en-NZ"/>
              </w:rPr>
            </w:pPr>
            <w:r w:rsidRPr="004B25DD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4B2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5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DD" w:rsidP="004B25DD">
            <w:pPr>
              <w:pStyle w:val="ListBullet"/>
            </w:pPr>
            <w:r w:rsidRPr="004B25DD">
              <w:t>applicable legislative procedures and codes</w:t>
            </w:r>
          </w:p>
          <w:p w:rsidR="00000000" w:rsidRPr="004B25DD" w:rsidP="004B25DD">
            <w:pPr>
              <w:pStyle w:val="ListBullet2"/>
            </w:pPr>
            <w:r w:rsidRPr="004B25DD">
              <w:t>current Australian Dangerous Goo</w:t>
            </w:r>
            <w:r w:rsidRPr="004B25DD">
              <w:t xml:space="preserve">ds (ADG) Code </w:t>
            </w:r>
          </w:p>
          <w:p w:rsidR="00000000" w:rsidRPr="004B25DD" w:rsidP="004B25DD">
            <w:pPr>
              <w:pStyle w:val="ListBullet2"/>
            </w:pPr>
            <w:r w:rsidRPr="004B25DD">
              <w:t>environmental protection legislation and regulations</w:t>
            </w:r>
          </w:p>
          <w:p w:rsidR="00000000" w:rsidRPr="004B25DD" w:rsidP="004B25DD">
            <w:pPr>
              <w:pStyle w:val="ListBullet2"/>
            </w:pPr>
            <w:r w:rsidRPr="004B25DD">
              <w:t xml:space="preserve">fatigue management regulations </w:t>
            </w:r>
          </w:p>
          <w:p w:rsidR="00000000" w:rsidRPr="004B25DD" w:rsidP="004B25DD">
            <w:pPr>
              <w:pStyle w:val="ListBullet2"/>
            </w:pPr>
            <w:r w:rsidRPr="004B25DD">
              <w:t>relevant state/territory roads and traffic authority driving regulations and licence or permit requirements for operating heavy vehicles on unsealed roads</w:t>
            </w:r>
          </w:p>
          <w:p w:rsidR="00000000" w:rsidRPr="004B25DD" w:rsidP="004B25DD">
            <w:pPr>
              <w:pStyle w:val="ListBullet2"/>
            </w:pPr>
            <w:r w:rsidRPr="004B25DD">
              <w:t>road rules</w:t>
            </w:r>
          </w:p>
          <w:p w:rsidR="00000000" w:rsidRPr="004B25DD" w:rsidP="004B25DD">
            <w:pPr>
              <w:pStyle w:val="ListBullet2"/>
            </w:pPr>
            <w:r w:rsidRPr="004B25DD">
              <w:t>work health and safety (WHS)/occupational health and safety (OHS) legislation</w:t>
            </w:r>
          </w:p>
          <w:p w:rsidR="00000000" w:rsidRPr="004B25DD" w:rsidP="004B25DD">
            <w:pPr>
              <w:pStyle w:val="ListBullet"/>
            </w:pPr>
            <w:r w:rsidRPr="004B25DD">
              <w:t xml:space="preserve">protocols and procedures for preparing and processing dangerous goods documentation </w:t>
            </w:r>
          </w:p>
          <w:p w:rsidR="00000000" w:rsidRPr="004B25DD" w:rsidP="004B25DD">
            <w:pPr>
              <w:pStyle w:val="ListBullet"/>
            </w:pPr>
            <w:r w:rsidRPr="004B25DD">
              <w:t>relevant procedures and duty of care requirements for preparing and processing da</w:t>
            </w:r>
            <w:r w:rsidRPr="004B25DD">
              <w:t>ngerous goods documentation</w:t>
            </w:r>
          </w:p>
          <w:p w:rsidR="00000000" w:rsidRPr="004B25DD" w:rsidP="004B25DD">
            <w:pPr>
              <w:pStyle w:val="ListBullet"/>
            </w:pPr>
            <w:r w:rsidRPr="004B25DD">
              <w:t xml:space="preserve">relevant sources of information for preparing and processing dangerous goods documentation </w:t>
            </w:r>
          </w:p>
          <w:p w:rsidR="00000000" w:rsidRPr="004B25DD" w:rsidP="004B25DD">
            <w:pPr>
              <w:pStyle w:val="ListBullet"/>
            </w:pPr>
            <w:r w:rsidRPr="004B25DD">
              <w:t>relevant WHS/OHS responsibilities for preparing and processing dangerous goods documentation</w:t>
            </w:r>
          </w:p>
          <w:p w:rsidR="00000000" w:rsidRPr="004B25DD" w:rsidP="004B25DD">
            <w:pPr>
              <w:pStyle w:val="ListBullet"/>
            </w:pPr>
            <w:r w:rsidRPr="004B25DD">
              <w:t>TERP</w:t>
            </w:r>
          </w:p>
          <w:p w:rsidR="00000000" w:rsidRPr="004B25DD" w:rsidP="004B25DD">
            <w:pPr>
              <w:pStyle w:val="ListBullet"/>
            </w:pPr>
            <w:r w:rsidRPr="004B25DD">
              <w:t>typical problems in processing workpla</w:t>
            </w:r>
            <w:r w:rsidRPr="004B25DD">
              <w:t xml:space="preserve">ce documentation, and appropriate actions and solutions </w:t>
            </w:r>
          </w:p>
          <w:p w:rsidR="00000000" w:rsidRPr="004B25DD" w:rsidP="004B25DD">
            <w:pPr>
              <w:pStyle w:val="ListBullet"/>
            </w:pPr>
            <w:r w:rsidRPr="004B25DD">
              <w:t xml:space="preserve">workplace procedures for preparing and processing dangerous goods documentation </w:t>
            </w:r>
          </w:p>
          <w:p w:rsidR="00000000" w:rsidRPr="004B25DD" w:rsidP="004B25DD">
            <w:pPr>
              <w:pStyle w:val="ListBullet"/>
            </w:pPr>
            <w:r w:rsidRPr="004B25DD">
              <w:t>workplace requirements relating to documentation format, style, structure and timeframe.</w:t>
            </w:r>
          </w:p>
        </w:tc>
      </w:tr>
    </w:tbl>
    <w:p w:rsidR="00BE596D" w:rsidP="004B25DD">
      <w:pPr>
        <w:pStyle w:val="NoPaddingFontSize1"/>
      </w:pPr>
    </w:p>
    <w:p w:rsidR="00BE596D" w:rsidP="004B25DD">
      <w:pPr>
        <w:pStyle w:val="NoPaddingFontSize1"/>
      </w:pPr>
    </w:p>
    <w:p w:rsidR="00000000" w:rsidRPr="004B25DD" w:rsidP="004B25DD">
      <w:pPr>
        <w:pStyle w:val="Heading1"/>
      </w:pPr>
      <w:bookmarkStart w:id="4" w:name="O_1196159"/>
      <w:bookmarkEnd w:id="4"/>
      <w:r w:rsidRPr="004B25D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B25D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B25DD" w:rsidP="004B25DD">
            <w:pPr>
              <w:pStyle w:val="BodyText"/>
            </w:pPr>
            <w:r w:rsidRPr="004B25DD">
              <w:t xml:space="preserve">Assessors must hold credentials specified within the Standards for Registered Training Organisations current at the time of assessment. </w:t>
            </w:r>
          </w:p>
          <w:p w:rsidR="00000000" w:rsidRPr="004B25DD" w:rsidP="004B25DD">
            <w:pPr>
              <w:pStyle w:val="BodyText"/>
            </w:pPr>
            <w:r w:rsidRPr="004B25DD">
              <w:t>Assessment must satisfy the Principles of Assessment and Rules of Evidence and all regulatory req</w:t>
            </w:r>
            <w:r w:rsidRPr="004B25DD">
              <w:t>uirements included within the Standards for Registered Training Organisations current at the time of assessment.</w:t>
            </w:r>
          </w:p>
          <w:p w:rsidR="00000000" w:rsidRPr="004B25DD" w:rsidP="004B25DD">
            <w:pPr>
              <w:pStyle w:val="BodyText"/>
            </w:pPr>
            <w:r w:rsidRPr="004B25DD">
              <w:t>Assessment must occur in workplace operational situations where it is appropriate to do so; where this is not appropriate, assessment must occu</w:t>
            </w:r>
            <w:r w:rsidRPr="004B25DD">
              <w:t>r in simulated workplace operational situations that replicate workplace conditions.</w:t>
            </w:r>
          </w:p>
          <w:p w:rsidR="00000000" w:rsidRPr="004B25DD" w:rsidP="004B25DD">
            <w:pPr>
              <w:pStyle w:val="BodyText"/>
            </w:pPr>
            <w:r w:rsidRPr="004B25DD">
              <w:t>Assessment processes and techniques must be appropriate to the language, literacy and numeracy requirements of the work being performed and the needs of the candidate.</w:t>
            </w:r>
          </w:p>
          <w:p w:rsidR="00000000" w:rsidRPr="004B25DD" w:rsidP="004B25DD">
            <w:pPr>
              <w:pStyle w:val="BodyText"/>
            </w:pPr>
            <w:r w:rsidRPr="004B25DD">
              <w:t>Res</w:t>
            </w:r>
            <w:r w:rsidRPr="004B25DD">
              <w:t>ources for assessment must include access to:</w:t>
            </w:r>
          </w:p>
          <w:p w:rsidR="00000000" w:rsidRPr="004B25DD" w:rsidP="004B25DD">
            <w:pPr>
              <w:pStyle w:val="ListBullet"/>
            </w:pPr>
            <w:r w:rsidRPr="004B25DD">
              <w:t>a range of relevant exercises, case studies and/or simulations</w:t>
            </w:r>
          </w:p>
          <w:p w:rsidR="00000000" w:rsidRPr="004B25DD" w:rsidP="004B25DD">
            <w:pPr>
              <w:pStyle w:val="ListBullet"/>
            </w:pPr>
            <w:r w:rsidRPr="004B25DD">
              <w:t>relevant and appropriate materials, tools, equipment and personal protective equipment (PPE) currently used in industry</w:t>
            </w:r>
          </w:p>
          <w:p w:rsidR="00000000" w:rsidRPr="004B25DD" w:rsidP="004B25DD">
            <w:pPr>
              <w:pStyle w:val="ListBullet"/>
            </w:pPr>
            <w:r w:rsidRPr="004B25DD">
              <w:t xml:space="preserve">applicable documentation, </w:t>
            </w:r>
            <w:r w:rsidRPr="004B25DD">
              <w:t>including legislation, regulations, TERP, current ADG Code, codes of practice, workplace procedures and operation manuals.</w:t>
            </w:r>
          </w:p>
        </w:tc>
      </w:tr>
    </w:tbl>
    <w:p w:rsidR="00000000" w:rsidRPr="004B25DD" w:rsidP="004B25DD">
      <w:pPr>
        <w:pStyle w:val="NoPaddingFontSize1"/>
      </w:pPr>
    </w:p>
    <w:p w:rsidR="00000000" w:rsidRPr="004B25DD" w:rsidP="004B25DD">
      <w:pPr>
        <w:pStyle w:val="AllowPageBreak"/>
      </w:pPr>
    </w:p>
    <w:p w:rsidR="00000000" w:rsidRPr="004B25DD" w:rsidP="004B25DD">
      <w:pPr>
        <w:pStyle w:val="Heading1"/>
      </w:pPr>
      <w:bookmarkStart w:id="5" w:name="O_1196174"/>
      <w:bookmarkEnd w:id="5"/>
      <w:r w:rsidRPr="004B25DD">
        <w:t>Links</w:t>
      </w:r>
    </w:p>
    <w:p w:rsidR="00000000" w:rsidRPr="004B25DD" w:rsidP="00BE596D">
      <w:pPr>
        <w:pStyle w:val="BodyText"/>
      </w:pPr>
      <w:r w:rsidRPr="004B25D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6C5E2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4B25DD" w:rsidP="004B25DD"/>
    <w:sectPr w:rsidSect="004B25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DD" w:rsidRPr="00BE596D" w:rsidP="00BE59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96D" w:rsidP="004B25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E596D" w:rsidP="004B25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BE596D" w:rsidP="004B25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9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B25DD" w:rsidRPr="00BE596D" w:rsidP="00BE59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25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596D" w:rsidRPr="002D2AF8" w:rsidP="004B25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TLIE4025 Prepare and process transport documentation for dangerous goods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BE596D" w:rsidP="004B25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563B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66AA10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224C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5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B25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B25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B25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B25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B25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B25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B25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B25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B25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B25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B25DD"/>
  </w:style>
  <w:style w:type="character" w:customStyle="1" w:styleId="Heading1Char">
    <w:name w:val="Heading 1 Char"/>
    <w:basedOn w:val="DefaultParagraphFont"/>
    <w:link w:val="Heading1"/>
    <w:rsid w:val="004B25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B25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B25D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B25D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B25DD"/>
    <w:rPr>
      <w:b/>
      <w:spacing w:val="0"/>
    </w:rPr>
  </w:style>
  <w:style w:type="paragraph" w:styleId="ListBullet2">
    <w:name w:val="List Bullet 2"/>
    <w:basedOn w:val="List2"/>
    <w:rsid w:val="004B25D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B25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B25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B25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B25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B25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B2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B25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B2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B25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B25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B25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B25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B25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B25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B25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B25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B25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B25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B25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B25D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B25D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B25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B25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B25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B25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B25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B25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B25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B25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B25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B25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B25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B25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B25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B25DD"/>
    <w:rPr>
      <w:i/>
    </w:rPr>
  </w:style>
  <w:style w:type="paragraph" w:styleId="Caption">
    <w:name w:val="caption"/>
    <w:basedOn w:val="BodyText"/>
    <w:next w:val="Normal"/>
    <w:qFormat/>
    <w:rsid w:val="004B25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B25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B25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B25DD"/>
  </w:style>
  <w:style w:type="paragraph" w:styleId="TableofFigures">
    <w:name w:val="table of figures"/>
    <w:basedOn w:val="Normal"/>
    <w:next w:val="Normal"/>
    <w:semiHidden/>
    <w:rsid w:val="004B25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B25D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B25DD"/>
    <w:rPr>
      <w:rFonts w:ascii="Wingdings" w:hAnsi="Wingdings"/>
    </w:rPr>
  </w:style>
  <w:style w:type="paragraph" w:customStyle="1" w:styleId="TableHeading">
    <w:name w:val="Table Heading"/>
    <w:basedOn w:val="HeadingBase"/>
    <w:rsid w:val="004B25D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B25DD"/>
    <w:rPr>
      <w:color w:val="0033CC"/>
      <w:u w:val="none"/>
    </w:rPr>
  </w:style>
  <w:style w:type="paragraph" w:customStyle="1" w:styleId="BodyTextRight">
    <w:name w:val="Body Text Right"/>
    <w:basedOn w:val="BodyText"/>
    <w:rsid w:val="004B25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B25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B25D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B25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B25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B25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B25DD"/>
    <w:rPr>
      <w:sz w:val="32"/>
    </w:rPr>
  </w:style>
  <w:style w:type="paragraph" w:customStyle="1" w:styleId="HeadingProcedure">
    <w:name w:val="Heading Procedure"/>
    <w:basedOn w:val="HeadingBase"/>
    <w:next w:val="Normal"/>
    <w:rsid w:val="004B25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B25DD"/>
    <w:pPr>
      <w:spacing w:before="60" w:after="60"/>
    </w:pPr>
  </w:style>
  <w:style w:type="paragraph" w:styleId="ListContinue">
    <w:name w:val="List Continue"/>
    <w:basedOn w:val="List"/>
    <w:rsid w:val="004B25DD"/>
    <w:pPr>
      <w:ind w:firstLine="0"/>
    </w:pPr>
  </w:style>
  <w:style w:type="paragraph" w:customStyle="1" w:styleId="ListNote">
    <w:name w:val="List Note"/>
    <w:basedOn w:val="List"/>
    <w:rsid w:val="004B25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B25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B25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B25DD"/>
    <w:rPr>
      <w:rFonts w:ascii="Courier New" w:hAnsi="Courier New"/>
    </w:rPr>
  </w:style>
  <w:style w:type="paragraph" w:customStyle="1" w:styleId="NoteBullet">
    <w:name w:val="Note Bullet"/>
    <w:basedOn w:val="Note"/>
    <w:rsid w:val="004B25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B25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B25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B25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B25D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B25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B25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B25DD"/>
    <w:rPr>
      <w:b/>
      <w:smallCaps/>
    </w:rPr>
  </w:style>
  <w:style w:type="paragraph" w:customStyle="1" w:styleId="TableListNumber">
    <w:name w:val="Table List Number"/>
    <w:basedOn w:val="ListNumber"/>
    <w:rsid w:val="004B25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B25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B25DD"/>
    <w:pPr>
      <w:numPr>
        <w:numId w:val="9"/>
      </w:numPr>
    </w:pPr>
  </w:style>
  <w:style w:type="paragraph" w:customStyle="1" w:styleId="ListAlpha2">
    <w:name w:val="List Alpha 2"/>
    <w:basedOn w:val="List2"/>
    <w:rsid w:val="004B25DD"/>
    <w:pPr>
      <w:numPr>
        <w:numId w:val="8"/>
      </w:numPr>
    </w:pPr>
  </w:style>
  <w:style w:type="paragraph" w:styleId="List2">
    <w:name w:val="List 2"/>
    <w:basedOn w:val="BodyText"/>
    <w:rsid w:val="004B25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B25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B25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B25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B25D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B25D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B25DD"/>
    <w:pPr>
      <w:numPr>
        <w:numId w:val="4"/>
      </w:numPr>
    </w:pPr>
  </w:style>
  <w:style w:type="paragraph" w:styleId="ListContinue2">
    <w:name w:val="List Continue 2"/>
    <w:basedOn w:val="List2"/>
    <w:rsid w:val="004B25DD"/>
    <w:pPr>
      <w:ind w:firstLine="0"/>
    </w:pPr>
  </w:style>
  <w:style w:type="paragraph" w:styleId="ListContinue3">
    <w:name w:val="List Continue 3"/>
    <w:basedOn w:val="List3"/>
    <w:rsid w:val="004B25DD"/>
    <w:pPr>
      <w:ind w:left="1021" w:firstLine="0"/>
    </w:pPr>
  </w:style>
  <w:style w:type="paragraph" w:styleId="ListContinue4">
    <w:name w:val="List Continue 4"/>
    <w:basedOn w:val="List4"/>
    <w:rsid w:val="004B25DD"/>
    <w:pPr>
      <w:ind w:firstLine="0"/>
    </w:pPr>
  </w:style>
  <w:style w:type="paragraph" w:styleId="ListContinue5">
    <w:name w:val="List Continue 5"/>
    <w:basedOn w:val="List5"/>
    <w:rsid w:val="004B25DD"/>
    <w:pPr>
      <w:ind w:firstLine="0"/>
    </w:pPr>
  </w:style>
  <w:style w:type="paragraph" w:styleId="ListNumber3">
    <w:name w:val="List Number 3"/>
    <w:basedOn w:val="List3"/>
    <w:rsid w:val="004B25DD"/>
    <w:pPr>
      <w:numPr>
        <w:numId w:val="5"/>
      </w:numPr>
    </w:pPr>
  </w:style>
  <w:style w:type="paragraph" w:styleId="ListNumber4">
    <w:name w:val="List Number 4"/>
    <w:basedOn w:val="List4"/>
    <w:rsid w:val="004B25DD"/>
    <w:pPr>
      <w:numPr>
        <w:numId w:val="6"/>
      </w:numPr>
    </w:pPr>
  </w:style>
  <w:style w:type="paragraph" w:styleId="ListNumber5">
    <w:name w:val="List Number 5"/>
    <w:basedOn w:val="List5"/>
    <w:rsid w:val="004B25DD"/>
    <w:pPr>
      <w:numPr>
        <w:numId w:val="7"/>
      </w:numPr>
    </w:pPr>
  </w:style>
  <w:style w:type="paragraph" w:styleId="BlockText">
    <w:name w:val="Block Text"/>
    <w:basedOn w:val="Normal"/>
    <w:rsid w:val="004B25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B25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B25DD"/>
    <w:rPr>
      <w:sz w:val="16"/>
      <w:vertAlign w:val="superscript"/>
    </w:rPr>
  </w:style>
  <w:style w:type="character" w:customStyle="1" w:styleId="Symbols">
    <w:name w:val="Symbols"/>
    <w:basedOn w:val="DefaultParagraphFont"/>
    <w:rsid w:val="004B25DD"/>
    <w:rPr>
      <w:rFonts w:ascii="Symbol" w:hAnsi="Symbol"/>
    </w:rPr>
  </w:style>
  <w:style w:type="character" w:customStyle="1" w:styleId="MenuOptions">
    <w:name w:val="Menu Options"/>
    <w:basedOn w:val="DefaultParagraphFont"/>
    <w:rsid w:val="004B25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B25DD"/>
    <w:rPr>
      <w:b/>
    </w:rPr>
  </w:style>
  <w:style w:type="character" w:customStyle="1" w:styleId="Underlined">
    <w:name w:val="Underlined"/>
    <w:basedOn w:val="DefaultParagraphFont"/>
    <w:rsid w:val="004B25DD"/>
    <w:rPr>
      <w:u w:val="single"/>
    </w:rPr>
  </w:style>
  <w:style w:type="paragraph" w:customStyle="1" w:styleId="TableBodyTextRight">
    <w:name w:val="Table Body Text Right"/>
    <w:basedOn w:val="TableBodyText"/>
    <w:rsid w:val="004B25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B25DD"/>
    <w:rPr>
      <w:sz w:val="18"/>
    </w:rPr>
  </w:style>
  <w:style w:type="paragraph" w:customStyle="1" w:styleId="BodySmallRight">
    <w:name w:val="Body Small Right"/>
    <w:basedOn w:val="BodyTextRight"/>
    <w:rsid w:val="004B25DD"/>
    <w:rPr>
      <w:sz w:val="18"/>
      <w:szCs w:val="18"/>
    </w:rPr>
  </w:style>
  <w:style w:type="paragraph" w:customStyle="1" w:styleId="MarginEdition">
    <w:name w:val="Margin Edition"/>
    <w:basedOn w:val="MarginNote"/>
    <w:rsid w:val="004B25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B25DD"/>
    <w:rPr>
      <w:sz w:val="2"/>
      <w:szCs w:val="2"/>
    </w:rPr>
  </w:style>
  <w:style w:type="character" w:customStyle="1" w:styleId="Small">
    <w:name w:val="Small"/>
    <w:basedOn w:val="DefaultParagraphFont"/>
    <w:rsid w:val="004B25DD"/>
    <w:rPr>
      <w:sz w:val="16"/>
    </w:rPr>
  </w:style>
  <w:style w:type="paragraph" w:customStyle="1" w:styleId="WideTable">
    <w:name w:val="Wide Table"/>
    <w:basedOn w:val="Normal"/>
    <w:rsid w:val="004B25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B25DD"/>
  </w:style>
  <w:style w:type="paragraph" w:styleId="Quote">
    <w:name w:val="Quote"/>
    <w:basedOn w:val="Heading1"/>
    <w:link w:val="QuoteChar"/>
    <w:qFormat/>
    <w:rsid w:val="004B25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B25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B25DD"/>
    <w:pPr>
      <w:pageBreakBefore/>
    </w:pPr>
  </w:style>
  <w:style w:type="paragraph" w:customStyle="1" w:styleId="Border">
    <w:name w:val="Border"/>
    <w:basedOn w:val="Normal"/>
    <w:qFormat/>
    <w:rsid w:val="004B25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B25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25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25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B25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B25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B25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B25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B25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B25DD"/>
    <w:rPr>
      <w:u w:val="single"/>
    </w:rPr>
  </w:style>
  <w:style w:type="character" w:customStyle="1" w:styleId="BoldandItalics">
    <w:name w:val="Bold and Italics"/>
    <w:qFormat/>
    <w:rsid w:val="004B25DD"/>
    <w:rPr>
      <w:b/>
      <w:i/>
      <w:u w:val="none"/>
    </w:rPr>
  </w:style>
  <w:style w:type="paragraph" w:styleId="BalloonText">
    <w:name w:val="Balloon Text"/>
    <w:basedOn w:val="Normal"/>
    <w:link w:val="BalloonTextChar"/>
    <w:rsid w:val="004B25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B25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B25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B25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B25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B25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B25DD"/>
    <w:pPr>
      <w:spacing w:before="0" w:after="0"/>
    </w:pPr>
  </w:style>
  <w:style w:type="paragraph" w:customStyle="1" w:styleId="BodyTextBold">
    <w:name w:val="Body Text Bold"/>
    <w:basedOn w:val="BodyText"/>
    <w:qFormat/>
    <w:rsid w:val="004B25DD"/>
    <w:rPr>
      <w:b/>
    </w:rPr>
  </w:style>
  <w:style w:type="character" w:styleId="Hyperlink">
    <w:name w:val="Hyperlink"/>
    <w:basedOn w:val="DefaultParagraphFont"/>
    <w:uiPriority w:val="99"/>
    <w:unhideWhenUsed/>
    <w:rsid w:val="00BE59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570</Words>
  <Characters>3975</Characters>
  <Application>Microsoft Office Word</Application>
  <DocSecurity>0</DocSecurity>
  <Lines>88</Lines>
  <Paragraphs>62</Paragraphs>
  <ScaleCrop>false</ScaleCrop>
  <Company>Author-it Software Corporation Ltd.</Company>
  <LinksUpToDate>false</LinksUpToDate>
  <CharactersWithSpaces>4483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TLIE4025 Prepare and process transport documentation for dangerous goods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2024-07-12T07:44:00Z</dcterms:created>
  <dcterms:modified xsi:type="dcterms:W3CDTF">2024-07-12T07:44:00Z</dcterms:modified>
</cp:coreProperties>
</file>