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5E4" w:rsidP="00054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TLIE3026 Carry out advanced calculations in the transport and logistics industry</w:t>
      </w:r>
      <w:r>
        <w:fldChar w:fldCharType="end"/>
      </w:r>
    </w:p>
    <w:p w:rsidR="000545E4" w:rsidP="000545E4">
      <w:pPr>
        <w:pStyle w:val="Version"/>
        <w:sectPr w:rsidSect="008C1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CDA" w:rsidP="008C1CDA">
      <w:pPr>
        <w:pStyle w:val="SuperHeading"/>
      </w:pPr>
      <w:r w:rsidRPr="008C1CDA">
        <w:t>TLIE3026 Carry out advanced calculations in the transport and logistics industry</w:t>
      </w:r>
    </w:p>
    <w:p w:rsidR="00000000" w:rsidRPr="008C1CDA" w:rsidP="008C1CDA">
      <w:pPr>
        <w:pStyle w:val="Heading1"/>
      </w:pPr>
      <w:bookmarkStart w:id="1" w:name="O_844512"/>
      <w:bookmarkEnd w:id="1"/>
      <w:r w:rsidRPr="008C1CDA">
        <w:t>Modification History</w:t>
      </w:r>
    </w:p>
    <w:p w:rsidR="000545E4" w:rsidP="000545E4">
      <w:pPr>
        <w:pStyle w:val="BodyText"/>
      </w:pPr>
      <w:r w:rsidRPr="008C1CDA">
        <w:t>Release 1. This is the first release of this unit of competency in the TLI Transport and Logistics Training Package.</w:t>
      </w:r>
    </w:p>
    <w:p w:rsidR="00000000" w:rsidRPr="008C1CDA" w:rsidP="008C1CDA">
      <w:pPr>
        <w:pStyle w:val="Heading1"/>
      </w:pPr>
      <w:bookmarkStart w:id="2" w:name="O_844513"/>
      <w:bookmarkEnd w:id="2"/>
      <w:r w:rsidRPr="008C1CD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C1C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t>This unit involves the skills and knowledge required to carry out advanced calculations in the transport and logistics industry.</w:t>
            </w:r>
          </w:p>
          <w:p w:rsidR="00000000" w:rsidRPr="008C1CDA" w:rsidP="008C1CDA">
            <w:pPr>
              <w:pStyle w:val="BodyText"/>
            </w:pPr>
            <w:r w:rsidRPr="008C1CDA">
              <w:t>It includes identifying required calculations, applying advanced calculation in workplace tasks, preparing estimate</w:t>
            </w:r>
            <w:r w:rsidRPr="008C1CDA">
              <w:t>s, and interpreting graphical representations of mathematical information.</w:t>
            </w:r>
          </w:p>
          <w:p w:rsidR="00000000" w:rsidRPr="008C1CDA" w:rsidP="008C1CDA">
            <w:pPr>
              <w:pStyle w:val="BodyText"/>
            </w:pPr>
            <w:r w:rsidRPr="008C1CDA">
              <w:t>No licensing, legislative or certification requirements apply to this unit at the time of publication.</w:t>
            </w:r>
          </w:p>
        </w:tc>
      </w:tr>
    </w:tbl>
    <w:p w:rsidR="000545E4" w:rsidP="008C1CDA">
      <w:pPr>
        <w:pStyle w:val="BodyText"/>
      </w:pPr>
    </w:p>
    <w:p w:rsidR="000545E4" w:rsidP="008C1CDA">
      <w:pPr>
        <w:pStyle w:val="BodyText"/>
      </w:pPr>
    </w:p>
    <w:p w:rsidR="00000000" w:rsidRPr="008C1CDA" w:rsidP="008C1CDA">
      <w:pPr>
        <w:pStyle w:val="Heading1"/>
      </w:pPr>
      <w:bookmarkStart w:id="3" w:name="O_844514"/>
      <w:bookmarkEnd w:id="3"/>
      <w:r w:rsidRPr="008C1CDA">
        <w:t>Pre-requisite Unit</w:t>
      </w:r>
    </w:p>
    <w:p w:rsidR="000545E4" w:rsidP="000545E4">
      <w:pPr>
        <w:pStyle w:val="BodyText"/>
      </w:pPr>
      <w:r w:rsidRPr="008C1CDA">
        <w:t>Not applicable.</w:t>
      </w:r>
    </w:p>
    <w:p w:rsidR="00000000" w:rsidRPr="008C1CDA" w:rsidP="008C1CDA">
      <w:pPr>
        <w:pStyle w:val="Heading1"/>
      </w:pPr>
      <w:bookmarkStart w:id="4" w:name="O_844515"/>
      <w:bookmarkEnd w:id="4"/>
      <w:r w:rsidRPr="008C1CDA">
        <w:t>Compe</w:t>
      </w:r>
      <w:r w:rsidRPr="008C1CDA">
        <w:t>tency Field</w:t>
      </w:r>
    </w:p>
    <w:p w:rsidR="000545E4" w:rsidP="000545E4">
      <w:pPr>
        <w:pStyle w:val="BodyText"/>
      </w:pPr>
      <w:r w:rsidRPr="008C1CDA">
        <w:t>E – Communication and Calculation</w:t>
      </w:r>
    </w:p>
    <w:p w:rsidR="00000000" w:rsidRPr="008C1CDA" w:rsidP="008C1CDA">
      <w:pPr>
        <w:pStyle w:val="Heading1"/>
      </w:pPr>
      <w:bookmarkStart w:id="5" w:name="O_844516"/>
      <w:bookmarkEnd w:id="5"/>
      <w:r w:rsidRPr="008C1CDA">
        <w:t>Unit Sector</w:t>
      </w:r>
    </w:p>
    <w:p w:rsidR="000545E4" w:rsidP="000545E4">
      <w:pPr>
        <w:pStyle w:val="BodyText"/>
      </w:pPr>
      <w:r w:rsidRPr="008C1CDA">
        <w:t>Not applicable.</w:t>
      </w:r>
    </w:p>
    <w:p w:rsidR="00000000" w:rsidRPr="008C1CDA" w:rsidP="008C1CDA">
      <w:pPr>
        <w:pStyle w:val="Heading1"/>
      </w:pPr>
      <w:bookmarkStart w:id="6" w:name="O_844517"/>
      <w:bookmarkEnd w:id="6"/>
      <w:r w:rsidRPr="008C1CD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rPr>
                <w:rStyle w:val="SpecialBold"/>
              </w:rPr>
              <w:t>PERFORMANCE CRITERIA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Performance criteria describe the performance needed to demonstrate achievement of the element.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rPr>
                <w:rStyle w:val="SpecialBold"/>
              </w:rPr>
              <w:t xml:space="preserve">Identify required </w:t>
            </w:r>
            <w:r w:rsidRPr="008C1CDA">
              <w:rPr>
                <w:rStyle w:val="SpecialBold"/>
              </w:rPr>
              <w:t>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 xml:space="preserve">Nature of calculation required and items involved are </w:t>
            </w:r>
            <w:r w:rsidRPr="008C1CDA">
              <w:t>determined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Tools required to perform calculations are identified and sourced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rPr>
                <w:rStyle w:val="SpecialBold"/>
              </w:rPr>
              <w:t>Apply advanced calculations in workplace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Calculations involving fractions, percentages and mixed numbers, using the four basic processes, are performed as required to complete w</w:t>
            </w:r>
            <w:r w:rsidRPr="008C1CDA">
              <w:t>orkplace tasks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Numerical information is checked and corrected for accuracy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rPr>
                <w:rStyle w:val="SpecialBold"/>
              </w:rPr>
              <w:t>Prepare estimates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Quantities of materials and resources required to complete work task are estimated and calculated accurately, using fractions, percentages and mixe</w:t>
            </w:r>
            <w:r w:rsidRPr="008C1CDA">
              <w:t>d numbers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Accurate estimates for work completion are made using fractions, percentages and mixed numbers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Working load limits (WLL) and safe working limits (SWL) of workplace equipment are calculated using advanced calculations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rPr>
                <w:rStyle w:val="SpecialBold"/>
              </w:rPr>
              <w:t>Interpret graphical representations of mathematical information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Information represented in symbols, diagrams and pictorial representations is recognised</w:t>
            </w:r>
          </w:p>
        </w:tc>
      </w:tr>
      <w:tr w:rsidTr="000545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DA">
            <w:pPr>
              <w:pStyle w:val="BodyText"/>
              <w:rPr>
                <w:lang w:val="en-NZ"/>
              </w:rPr>
            </w:pPr>
            <w:r w:rsidRPr="008C1CD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DA" w:rsidP="008C1CDA">
            <w:pPr>
              <w:pStyle w:val="BodyText"/>
            </w:pPr>
            <w:r w:rsidRPr="008C1CDA">
              <w:t>Recognised information represented in symbols, diagrams and pictorial representations is int</w:t>
            </w:r>
            <w:r w:rsidRPr="008C1CDA">
              <w:t>erpreted and acted upon</w:t>
            </w:r>
          </w:p>
        </w:tc>
      </w:tr>
    </w:tbl>
    <w:p w:rsidR="000545E4" w:rsidP="008C1CDA">
      <w:pPr>
        <w:pStyle w:val="BodyText"/>
      </w:pPr>
    </w:p>
    <w:p w:rsidR="000545E4" w:rsidP="008C1CDA">
      <w:pPr>
        <w:pStyle w:val="BodyText"/>
      </w:pPr>
    </w:p>
    <w:p w:rsidR="00000000" w:rsidRPr="008C1CDA" w:rsidP="008C1CDA">
      <w:pPr>
        <w:pStyle w:val="Heading1"/>
      </w:pPr>
      <w:bookmarkStart w:id="7" w:name="O_844518"/>
      <w:bookmarkEnd w:id="7"/>
      <w:r w:rsidRPr="008C1CDA">
        <w:t>Foundation Skills</w:t>
      </w:r>
    </w:p>
    <w:p w:rsidR="000545E4" w:rsidP="000545E4">
      <w:pPr>
        <w:pStyle w:val="BodyText"/>
      </w:pPr>
      <w:r w:rsidRPr="008C1CDA">
        <w:t>Foundation skills essential to performance are explicit in the performance criteria of this unit of competency.</w:t>
      </w:r>
    </w:p>
    <w:p w:rsidR="00000000" w:rsidRPr="008C1CDA" w:rsidP="008C1CDA">
      <w:pPr>
        <w:pStyle w:val="Heading1"/>
      </w:pPr>
      <w:bookmarkStart w:id="8" w:name="O_844519"/>
      <w:bookmarkEnd w:id="8"/>
      <w:r w:rsidRPr="008C1CDA">
        <w:t>Range of Conditions</w:t>
      </w:r>
    </w:p>
    <w:p w:rsidR="00000000" w:rsidRPr="008C1CDA" w:rsidP="000545E4">
      <w:pPr>
        <w:pStyle w:val="BodyText"/>
      </w:pPr>
      <w:r w:rsidRPr="008C1CDA">
        <w:t>Range is restricted to essential operating conditions and any other variables essential to the work environment.</w:t>
      </w:r>
    </w:p>
    <w:p w:rsidR="000545E4" w:rsidP="000545E4">
      <w:pPr>
        <w:pStyle w:val="BodyText"/>
      </w:pPr>
      <w:r w:rsidRPr="008C1CDA">
        <w:t>Non-essential conditions can be found in the Companion Volume Implementation Guide.</w:t>
      </w:r>
    </w:p>
    <w:p w:rsidR="00000000" w:rsidRPr="008C1CDA" w:rsidP="008C1CDA">
      <w:pPr>
        <w:pStyle w:val="Heading1"/>
      </w:pPr>
      <w:bookmarkStart w:id="9" w:name="O_844520"/>
      <w:bookmarkEnd w:id="9"/>
      <w:r w:rsidRPr="008C1CDA">
        <w:t>Unit Mapping Information</w:t>
      </w:r>
    </w:p>
    <w:p w:rsidR="000545E4" w:rsidP="000545E4">
      <w:pPr>
        <w:pStyle w:val="BodyText"/>
      </w:pPr>
      <w:r w:rsidRPr="008C1CDA">
        <w:t>This unit replac</w:t>
      </w:r>
      <w:r w:rsidRPr="008C1CDA">
        <w:t>es and is equivalent to TLIE3026A Carry out advanced calculations in the transport logistics industry.</w:t>
      </w:r>
    </w:p>
    <w:p w:rsidR="00000000" w:rsidRPr="008C1CDA" w:rsidP="008C1CDA">
      <w:pPr>
        <w:pStyle w:val="Heading1"/>
      </w:pPr>
      <w:bookmarkStart w:id="10" w:name="O_844527"/>
      <w:bookmarkEnd w:id="10"/>
      <w:r w:rsidRPr="008C1CDA">
        <w:t>Links</w:t>
      </w:r>
    </w:p>
    <w:p w:rsidR="00000000" w:rsidRPr="008C1CDA" w:rsidP="000545E4">
      <w:pPr>
        <w:pStyle w:val="BodyText"/>
      </w:pPr>
      <w:r w:rsidRPr="008C1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52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1CDA" w:rsidP="008C1CDA"/>
    <w:sectPr w:rsidSect="008C1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DA" w:rsidRPr="000545E4" w:rsidP="00054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E4" w:rsidP="008C1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5E4" w:rsidP="008C1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545E4" w:rsidP="008C1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CDA" w:rsidRPr="000545E4" w:rsidP="00054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5E4" w:rsidRPr="002D2AF8" w:rsidP="008C1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TLIE3026 Carry out advanced calculations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545E4" w:rsidP="008C1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CDA"/>
  </w:style>
  <w:style w:type="character" w:customStyle="1" w:styleId="Heading1Char">
    <w:name w:val="Heading 1 Char"/>
    <w:basedOn w:val="DefaultParagraphFont"/>
    <w:link w:val="Heading1"/>
    <w:rsid w:val="008C1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C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1CDA"/>
    <w:rPr>
      <w:b/>
      <w:spacing w:val="0"/>
    </w:rPr>
  </w:style>
  <w:style w:type="paragraph" w:customStyle="1" w:styleId="SuperHeading">
    <w:name w:val="SuperHeading"/>
    <w:basedOn w:val="Normal"/>
    <w:rsid w:val="008C1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C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1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C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CDA"/>
    <w:rPr>
      <w:i/>
    </w:rPr>
  </w:style>
  <w:style w:type="paragraph" w:styleId="Caption">
    <w:name w:val="caption"/>
    <w:basedOn w:val="BodyText"/>
    <w:next w:val="Normal"/>
    <w:qFormat/>
    <w:rsid w:val="008C1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CDA"/>
  </w:style>
  <w:style w:type="paragraph" w:styleId="TableofFigures">
    <w:name w:val="table of figures"/>
    <w:basedOn w:val="Normal"/>
    <w:next w:val="Normal"/>
    <w:semiHidden/>
    <w:rsid w:val="008C1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C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1CDA"/>
    <w:rPr>
      <w:rFonts w:ascii="Wingdings" w:hAnsi="Wingdings"/>
    </w:rPr>
  </w:style>
  <w:style w:type="paragraph" w:customStyle="1" w:styleId="TableHeading">
    <w:name w:val="Table Heading"/>
    <w:basedOn w:val="HeadingBase"/>
    <w:rsid w:val="008C1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CDA"/>
    <w:rPr>
      <w:color w:val="0033CC"/>
      <w:u w:val="none"/>
    </w:rPr>
  </w:style>
  <w:style w:type="paragraph" w:customStyle="1" w:styleId="BodyTextRight">
    <w:name w:val="Body Text Right"/>
    <w:basedOn w:val="BodyText"/>
    <w:rsid w:val="008C1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C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CDA"/>
    <w:rPr>
      <w:sz w:val="32"/>
    </w:rPr>
  </w:style>
  <w:style w:type="paragraph" w:customStyle="1" w:styleId="HeadingProcedure">
    <w:name w:val="Heading Procedure"/>
    <w:basedOn w:val="HeadingBase"/>
    <w:next w:val="Normal"/>
    <w:rsid w:val="008C1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CDA"/>
    <w:pPr>
      <w:spacing w:before="60" w:after="60"/>
    </w:pPr>
  </w:style>
  <w:style w:type="paragraph" w:styleId="ListContinue">
    <w:name w:val="List Continue"/>
    <w:basedOn w:val="List"/>
    <w:rsid w:val="008C1CDA"/>
    <w:pPr>
      <w:ind w:firstLine="0"/>
    </w:pPr>
  </w:style>
  <w:style w:type="paragraph" w:customStyle="1" w:styleId="ListNote">
    <w:name w:val="List Note"/>
    <w:basedOn w:val="List"/>
    <w:rsid w:val="008C1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CDA"/>
    <w:rPr>
      <w:rFonts w:ascii="Courier New" w:hAnsi="Courier New"/>
    </w:rPr>
  </w:style>
  <w:style w:type="paragraph" w:customStyle="1" w:styleId="NoteBullet">
    <w:name w:val="Note Bullet"/>
    <w:basedOn w:val="Note"/>
    <w:rsid w:val="008C1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C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1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CDA"/>
    <w:rPr>
      <w:b/>
      <w:smallCaps/>
    </w:rPr>
  </w:style>
  <w:style w:type="paragraph" w:customStyle="1" w:styleId="TableListNumber">
    <w:name w:val="Table List Number"/>
    <w:basedOn w:val="ListNumber"/>
    <w:rsid w:val="008C1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CDA"/>
    <w:pPr>
      <w:numPr>
        <w:numId w:val="7"/>
      </w:numPr>
    </w:pPr>
  </w:style>
  <w:style w:type="paragraph" w:customStyle="1" w:styleId="ListAlpha2">
    <w:name w:val="List Alpha 2"/>
    <w:basedOn w:val="List2"/>
    <w:rsid w:val="008C1CDA"/>
    <w:pPr>
      <w:numPr>
        <w:numId w:val="6"/>
      </w:numPr>
    </w:pPr>
  </w:style>
  <w:style w:type="paragraph" w:styleId="List2">
    <w:name w:val="List 2"/>
    <w:basedOn w:val="BodyText"/>
    <w:rsid w:val="008C1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C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C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1CDA"/>
    <w:pPr>
      <w:numPr>
        <w:numId w:val="2"/>
      </w:numPr>
    </w:pPr>
  </w:style>
  <w:style w:type="paragraph" w:styleId="ListContinue2">
    <w:name w:val="List Continue 2"/>
    <w:basedOn w:val="List2"/>
    <w:rsid w:val="008C1CDA"/>
    <w:pPr>
      <w:ind w:firstLine="0"/>
    </w:pPr>
  </w:style>
  <w:style w:type="paragraph" w:styleId="ListContinue3">
    <w:name w:val="List Continue 3"/>
    <w:basedOn w:val="List3"/>
    <w:rsid w:val="008C1CDA"/>
    <w:pPr>
      <w:ind w:left="1021" w:firstLine="0"/>
    </w:pPr>
  </w:style>
  <w:style w:type="paragraph" w:styleId="ListContinue4">
    <w:name w:val="List Continue 4"/>
    <w:basedOn w:val="List4"/>
    <w:rsid w:val="008C1CDA"/>
    <w:pPr>
      <w:ind w:firstLine="0"/>
    </w:pPr>
  </w:style>
  <w:style w:type="paragraph" w:styleId="ListContinue5">
    <w:name w:val="List Continue 5"/>
    <w:basedOn w:val="List5"/>
    <w:rsid w:val="008C1CDA"/>
    <w:pPr>
      <w:ind w:firstLine="0"/>
    </w:pPr>
  </w:style>
  <w:style w:type="paragraph" w:styleId="ListNumber3">
    <w:name w:val="List Number 3"/>
    <w:basedOn w:val="List3"/>
    <w:rsid w:val="008C1CDA"/>
    <w:pPr>
      <w:numPr>
        <w:numId w:val="3"/>
      </w:numPr>
    </w:pPr>
  </w:style>
  <w:style w:type="paragraph" w:styleId="ListNumber4">
    <w:name w:val="List Number 4"/>
    <w:basedOn w:val="List4"/>
    <w:rsid w:val="008C1CDA"/>
    <w:pPr>
      <w:numPr>
        <w:numId w:val="4"/>
      </w:numPr>
    </w:pPr>
  </w:style>
  <w:style w:type="paragraph" w:styleId="ListNumber5">
    <w:name w:val="List Number 5"/>
    <w:basedOn w:val="List5"/>
    <w:rsid w:val="008C1CDA"/>
    <w:pPr>
      <w:numPr>
        <w:numId w:val="5"/>
      </w:numPr>
    </w:pPr>
  </w:style>
  <w:style w:type="paragraph" w:styleId="BlockText">
    <w:name w:val="Block Text"/>
    <w:basedOn w:val="Normal"/>
    <w:rsid w:val="008C1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CDA"/>
    <w:rPr>
      <w:sz w:val="16"/>
      <w:vertAlign w:val="superscript"/>
    </w:rPr>
  </w:style>
  <w:style w:type="character" w:customStyle="1" w:styleId="Symbols">
    <w:name w:val="Symbols"/>
    <w:basedOn w:val="DefaultParagraphFont"/>
    <w:rsid w:val="008C1CDA"/>
    <w:rPr>
      <w:rFonts w:ascii="Symbol" w:hAnsi="Symbol"/>
    </w:rPr>
  </w:style>
  <w:style w:type="character" w:customStyle="1" w:styleId="MenuOptions">
    <w:name w:val="Menu Options"/>
    <w:basedOn w:val="DefaultParagraphFont"/>
    <w:rsid w:val="008C1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CDA"/>
    <w:rPr>
      <w:b/>
    </w:rPr>
  </w:style>
  <w:style w:type="character" w:customStyle="1" w:styleId="Underlined">
    <w:name w:val="Underlined"/>
    <w:basedOn w:val="DefaultParagraphFont"/>
    <w:rsid w:val="008C1CDA"/>
    <w:rPr>
      <w:u w:val="single"/>
    </w:rPr>
  </w:style>
  <w:style w:type="paragraph" w:customStyle="1" w:styleId="TableBodyTextRight">
    <w:name w:val="Table Body Text Right"/>
    <w:basedOn w:val="TableBodyText"/>
    <w:rsid w:val="008C1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CDA"/>
    <w:rPr>
      <w:sz w:val="18"/>
    </w:rPr>
  </w:style>
  <w:style w:type="paragraph" w:customStyle="1" w:styleId="BodySmallRight">
    <w:name w:val="Body Small Right"/>
    <w:basedOn w:val="BodyTextRight"/>
    <w:rsid w:val="008C1CDA"/>
    <w:rPr>
      <w:sz w:val="18"/>
      <w:szCs w:val="18"/>
    </w:rPr>
  </w:style>
  <w:style w:type="paragraph" w:customStyle="1" w:styleId="MarginEdition">
    <w:name w:val="Margin Edition"/>
    <w:basedOn w:val="MarginNote"/>
    <w:rsid w:val="008C1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CDA"/>
    <w:rPr>
      <w:sz w:val="2"/>
      <w:szCs w:val="2"/>
    </w:rPr>
  </w:style>
  <w:style w:type="character" w:customStyle="1" w:styleId="Small">
    <w:name w:val="Small"/>
    <w:basedOn w:val="DefaultParagraphFont"/>
    <w:rsid w:val="008C1CDA"/>
    <w:rPr>
      <w:sz w:val="16"/>
    </w:rPr>
  </w:style>
  <w:style w:type="paragraph" w:customStyle="1" w:styleId="WideTable">
    <w:name w:val="Wide Table"/>
    <w:basedOn w:val="Normal"/>
    <w:rsid w:val="008C1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CDA"/>
  </w:style>
  <w:style w:type="paragraph" w:styleId="Quote">
    <w:name w:val="Quote"/>
    <w:basedOn w:val="Heading1"/>
    <w:link w:val="QuoteChar"/>
    <w:qFormat/>
    <w:rsid w:val="008C1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CDA"/>
    <w:pPr>
      <w:pageBreakBefore/>
    </w:pPr>
  </w:style>
  <w:style w:type="paragraph" w:customStyle="1" w:styleId="Border">
    <w:name w:val="Border"/>
    <w:basedOn w:val="Normal"/>
    <w:qFormat/>
    <w:rsid w:val="008C1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CDA"/>
    <w:rPr>
      <w:u w:val="single"/>
    </w:rPr>
  </w:style>
  <w:style w:type="character" w:customStyle="1" w:styleId="BoldandItalics">
    <w:name w:val="Bold and Italics"/>
    <w:qFormat/>
    <w:rsid w:val="008C1CDA"/>
    <w:rPr>
      <w:b/>
      <w:i/>
      <w:u w:val="none"/>
    </w:rPr>
  </w:style>
  <w:style w:type="paragraph" w:styleId="BalloonText">
    <w:name w:val="Balloon Text"/>
    <w:basedOn w:val="Normal"/>
    <w:link w:val="BalloonTextChar"/>
    <w:rsid w:val="008C1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CDA"/>
    <w:pPr>
      <w:spacing w:before="0" w:after="0"/>
    </w:pPr>
  </w:style>
  <w:style w:type="paragraph" w:customStyle="1" w:styleId="BodyTextBold">
    <w:name w:val="Body Text Bold"/>
    <w:basedOn w:val="BodyText"/>
    <w:qFormat/>
    <w:rsid w:val="008C1CDA"/>
    <w:rPr>
      <w:b/>
    </w:rPr>
  </w:style>
  <w:style w:type="character" w:styleId="Hyperlink">
    <w:name w:val="Hyperlink"/>
    <w:basedOn w:val="DefaultParagraphFont"/>
    <w:uiPriority w:val="99"/>
    <w:unhideWhenUsed/>
    <w:rsid w:val="00054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395</Words>
  <Characters>2631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TLIE3026 Carry out advanced calculations in the transport and logistics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